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62F" w:rsidRPr="000E519E" w:rsidRDefault="006570F1" w:rsidP="009F6724">
      <w:pPr>
        <w:ind w:left="-426" w:right="-518"/>
        <w:rPr>
          <w:b/>
          <w:sz w:val="22"/>
          <w:szCs w:val="20"/>
        </w:rPr>
      </w:pPr>
      <w:r w:rsidRPr="000E519E">
        <w:rPr>
          <w:b/>
          <w:sz w:val="22"/>
          <w:szCs w:val="20"/>
        </w:rPr>
        <w:t>P</w:t>
      </w:r>
      <w:r w:rsidR="00284D90" w:rsidRPr="000E519E">
        <w:rPr>
          <w:b/>
          <w:sz w:val="22"/>
          <w:szCs w:val="20"/>
        </w:rPr>
        <w:t xml:space="preserve">ropuestas </w:t>
      </w:r>
      <w:r w:rsidRPr="000E519E">
        <w:rPr>
          <w:b/>
          <w:sz w:val="22"/>
          <w:szCs w:val="20"/>
        </w:rPr>
        <w:t xml:space="preserve">para una </w:t>
      </w:r>
      <w:r w:rsidR="0053362F" w:rsidRPr="000E519E">
        <w:rPr>
          <w:b/>
          <w:sz w:val="22"/>
          <w:szCs w:val="20"/>
        </w:rPr>
        <w:t>Nueva Agenda Regional (NAR)</w:t>
      </w:r>
      <w:r w:rsidR="00984103" w:rsidRPr="000E519E">
        <w:rPr>
          <w:b/>
          <w:sz w:val="22"/>
          <w:szCs w:val="20"/>
        </w:rPr>
        <w:t xml:space="preserve"> </w:t>
      </w:r>
      <w:r w:rsidR="000E519E" w:rsidRPr="000E519E">
        <w:rPr>
          <w:b/>
          <w:sz w:val="22"/>
          <w:szCs w:val="20"/>
        </w:rPr>
        <w:t>se</w:t>
      </w:r>
      <w:r w:rsidR="00984103" w:rsidRPr="000E519E">
        <w:rPr>
          <w:b/>
          <w:sz w:val="22"/>
          <w:szCs w:val="20"/>
        </w:rPr>
        <w:t xml:space="preserve"> discuten en Los Lagos</w:t>
      </w:r>
      <w:r w:rsidR="0053362F" w:rsidRPr="000E519E">
        <w:rPr>
          <w:b/>
          <w:sz w:val="22"/>
          <w:szCs w:val="20"/>
        </w:rPr>
        <w:t xml:space="preserve">: </w:t>
      </w:r>
    </w:p>
    <w:p w:rsidR="0053362F" w:rsidRDefault="00337A05" w:rsidP="009F6724">
      <w:pPr>
        <w:ind w:left="-426" w:right="-518"/>
        <w:jc w:val="center"/>
        <w:rPr>
          <w:b/>
          <w:sz w:val="32"/>
          <w:szCs w:val="20"/>
        </w:rPr>
      </w:pPr>
      <w:r>
        <w:rPr>
          <w:b/>
          <w:sz w:val="32"/>
          <w:szCs w:val="20"/>
        </w:rPr>
        <w:t>Las desigualdades territoriales no se resuelven sólo con más descentralización</w:t>
      </w:r>
    </w:p>
    <w:p w:rsidR="00F54D95" w:rsidRPr="00260960" w:rsidRDefault="00D25396" w:rsidP="009F6724">
      <w:pPr>
        <w:pStyle w:val="Prrafodelista"/>
        <w:numPr>
          <w:ilvl w:val="0"/>
          <w:numId w:val="25"/>
        </w:numPr>
        <w:spacing w:after="0" w:line="240" w:lineRule="auto"/>
        <w:ind w:left="-68" w:right="-567" w:hanging="357"/>
        <w:jc w:val="both"/>
        <w:rPr>
          <w:rFonts w:ascii="Verdana" w:hAnsi="Verdana"/>
          <w:i/>
          <w:sz w:val="18"/>
          <w:szCs w:val="20"/>
        </w:rPr>
      </w:pPr>
      <w:r w:rsidRPr="00260960">
        <w:rPr>
          <w:rFonts w:ascii="Verdana" w:hAnsi="Verdana" w:cs="Arial"/>
          <w:sz w:val="20"/>
          <w:szCs w:val="26"/>
          <w:lang w:eastAsia="es-CL"/>
        </w:rPr>
        <w:t xml:space="preserve">Actualmente, en Chile el destino de sus habitantes depende en buena medida del lugar donde nacen, crecen, viven y trabajan y no tanto </w:t>
      </w:r>
      <w:r w:rsidR="00260960">
        <w:rPr>
          <w:rFonts w:ascii="Verdana" w:hAnsi="Verdana" w:cs="Arial"/>
          <w:sz w:val="20"/>
          <w:szCs w:val="26"/>
          <w:lang w:eastAsia="es-CL"/>
        </w:rPr>
        <w:t xml:space="preserve">de </w:t>
      </w:r>
      <w:r w:rsidRPr="00260960">
        <w:rPr>
          <w:rFonts w:ascii="Verdana" w:hAnsi="Verdana" w:cs="Arial"/>
          <w:sz w:val="20"/>
          <w:szCs w:val="26"/>
          <w:lang w:eastAsia="es-CL"/>
        </w:rPr>
        <w:t>sus capacidades y esfuerzo. Esto, porque las oportunidades de desarrollo y bienestar están concentradas en unos pocos territorios, en desmedro de otros.</w:t>
      </w:r>
    </w:p>
    <w:p w:rsidR="00546090" w:rsidRPr="00260960" w:rsidRDefault="00337A05" w:rsidP="00E614B4">
      <w:pPr>
        <w:pStyle w:val="Prrafodelista"/>
        <w:numPr>
          <w:ilvl w:val="0"/>
          <w:numId w:val="25"/>
        </w:numPr>
        <w:spacing w:after="0" w:line="240" w:lineRule="auto"/>
        <w:ind w:left="-68" w:right="-567" w:hanging="357"/>
        <w:jc w:val="both"/>
        <w:rPr>
          <w:rFonts w:ascii="Verdana" w:hAnsi="Verdana" w:cs="Arial"/>
          <w:sz w:val="20"/>
          <w:szCs w:val="26"/>
          <w:lang w:eastAsia="es-CL"/>
        </w:rPr>
      </w:pPr>
      <w:r w:rsidRPr="00260960">
        <w:rPr>
          <w:rFonts w:ascii="Verdana" w:hAnsi="Verdana" w:cs="Arial"/>
          <w:sz w:val="20"/>
          <w:szCs w:val="26"/>
          <w:lang w:eastAsia="es-CL"/>
        </w:rPr>
        <w:t>A partir de</w:t>
      </w:r>
      <w:r w:rsidR="00F54D95" w:rsidRPr="00260960">
        <w:rPr>
          <w:rFonts w:ascii="Verdana" w:hAnsi="Verdana" w:cs="Arial"/>
          <w:sz w:val="20"/>
          <w:szCs w:val="26"/>
          <w:lang w:eastAsia="es-CL"/>
        </w:rPr>
        <w:t xml:space="preserve"> este</w:t>
      </w:r>
      <w:r w:rsidRPr="00260960">
        <w:rPr>
          <w:rFonts w:ascii="Verdana" w:hAnsi="Verdana" w:cs="Arial"/>
          <w:sz w:val="20"/>
          <w:szCs w:val="26"/>
          <w:lang w:eastAsia="es-CL"/>
        </w:rPr>
        <w:t xml:space="preserve"> diagnóstico </w:t>
      </w:r>
      <w:r w:rsidR="006570F1" w:rsidRPr="00260960">
        <w:rPr>
          <w:rFonts w:ascii="Verdana" w:hAnsi="Verdana" w:cs="Arial"/>
          <w:sz w:val="20"/>
          <w:szCs w:val="26"/>
          <w:lang w:eastAsia="es-CL"/>
        </w:rPr>
        <w:t xml:space="preserve">investigadores </w:t>
      </w:r>
      <w:r w:rsidR="00546090" w:rsidRPr="00260960">
        <w:rPr>
          <w:rFonts w:ascii="Verdana" w:hAnsi="Verdana" w:cs="Arial"/>
          <w:sz w:val="20"/>
          <w:szCs w:val="26"/>
          <w:lang w:eastAsia="es-CL"/>
        </w:rPr>
        <w:t xml:space="preserve">del </w:t>
      </w:r>
      <w:r w:rsidR="00DA5D29">
        <w:rPr>
          <w:rFonts w:ascii="Verdana" w:hAnsi="Verdana" w:cs="Arial"/>
          <w:sz w:val="20"/>
          <w:szCs w:val="26"/>
          <w:lang w:eastAsia="es-CL"/>
        </w:rPr>
        <w:t>p</w:t>
      </w:r>
      <w:r w:rsidR="00546090" w:rsidRPr="00260960">
        <w:rPr>
          <w:rFonts w:ascii="Verdana" w:hAnsi="Verdana" w:cs="Arial"/>
          <w:sz w:val="20"/>
          <w:szCs w:val="26"/>
          <w:lang w:eastAsia="es-CL"/>
        </w:rPr>
        <w:t>rograma Cohesión Territorial para el Desarrollo de Rimisp</w:t>
      </w:r>
      <w:r w:rsidR="006570F1" w:rsidRPr="00260960">
        <w:rPr>
          <w:rFonts w:ascii="Verdana" w:hAnsi="Verdana" w:cs="Arial"/>
          <w:sz w:val="20"/>
          <w:szCs w:val="26"/>
          <w:lang w:eastAsia="es-CL"/>
        </w:rPr>
        <w:t xml:space="preserve"> </w:t>
      </w:r>
      <w:r w:rsidR="00F662F3" w:rsidRPr="00260960">
        <w:rPr>
          <w:rFonts w:ascii="Verdana" w:hAnsi="Verdana" w:cs="Arial"/>
          <w:sz w:val="20"/>
          <w:szCs w:val="26"/>
          <w:lang w:eastAsia="es-CL"/>
        </w:rPr>
        <w:t xml:space="preserve">generaron </w:t>
      </w:r>
      <w:r w:rsidR="00546090" w:rsidRPr="00260960">
        <w:rPr>
          <w:rFonts w:ascii="Verdana" w:hAnsi="Verdana" w:cs="Arial"/>
          <w:sz w:val="20"/>
          <w:szCs w:val="26"/>
          <w:lang w:eastAsia="es-CL"/>
        </w:rPr>
        <w:t>propuestas en materia de desarrollo económico</w:t>
      </w:r>
      <w:r w:rsidR="009F6724" w:rsidRPr="00260960">
        <w:rPr>
          <w:rFonts w:ascii="Verdana" w:hAnsi="Verdana" w:cs="Arial"/>
          <w:sz w:val="20"/>
          <w:szCs w:val="26"/>
          <w:lang w:eastAsia="es-CL"/>
        </w:rPr>
        <w:t xml:space="preserve">, </w:t>
      </w:r>
      <w:r w:rsidR="00546090" w:rsidRPr="00260960">
        <w:rPr>
          <w:rFonts w:ascii="Verdana" w:hAnsi="Verdana" w:cs="Arial"/>
          <w:sz w:val="20"/>
          <w:szCs w:val="26"/>
          <w:lang w:eastAsia="es-CL"/>
        </w:rPr>
        <w:t xml:space="preserve">social, y </w:t>
      </w:r>
      <w:r w:rsidR="009F6724" w:rsidRPr="00260960">
        <w:rPr>
          <w:rFonts w:ascii="Verdana" w:hAnsi="Verdana" w:cs="Arial"/>
          <w:sz w:val="20"/>
          <w:szCs w:val="26"/>
          <w:lang w:eastAsia="es-CL"/>
        </w:rPr>
        <w:t xml:space="preserve">de </w:t>
      </w:r>
      <w:r w:rsidR="00546090" w:rsidRPr="00260960">
        <w:rPr>
          <w:rFonts w:ascii="Verdana" w:hAnsi="Verdana" w:cs="Arial"/>
          <w:sz w:val="20"/>
          <w:szCs w:val="26"/>
          <w:lang w:eastAsia="es-CL"/>
        </w:rPr>
        <w:t>descentralización</w:t>
      </w:r>
      <w:r w:rsidR="00F662F3" w:rsidRPr="00260960">
        <w:rPr>
          <w:rFonts w:ascii="Verdana" w:hAnsi="Verdana" w:cs="Arial"/>
          <w:sz w:val="20"/>
          <w:szCs w:val="26"/>
          <w:lang w:eastAsia="es-CL"/>
        </w:rPr>
        <w:t>, las que serán entregadas transversalmente a los candidatos presidenciales y al Congreso</w:t>
      </w:r>
      <w:r w:rsidR="00F54D95" w:rsidRPr="00260960">
        <w:rPr>
          <w:rFonts w:ascii="Verdana" w:hAnsi="Verdana" w:cs="Arial"/>
          <w:sz w:val="20"/>
          <w:szCs w:val="26"/>
          <w:lang w:eastAsia="es-CL"/>
        </w:rPr>
        <w:t xml:space="preserve">, </w:t>
      </w:r>
      <w:r w:rsidR="00F662F3" w:rsidRPr="00260960">
        <w:rPr>
          <w:rFonts w:ascii="Verdana" w:hAnsi="Verdana" w:cs="Arial"/>
          <w:sz w:val="20"/>
          <w:szCs w:val="26"/>
          <w:lang w:eastAsia="es-CL"/>
        </w:rPr>
        <w:t xml:space="preserve"> </w:t>
      </w:r>
      <w:r w:rsidR="006570F1" w:rsidRPr="00260960">
        <w:rPr>
          <w:rFonts w:ascii="Verdana" w:hAnsi="Verdana" w:cs="Arial"/>
          <w:sz w:val="20"/>
          <w:szCs w:val="26"/>
          <w:lang w:eastAsia="es-CL"/>
        </w:rPr>
        <w:t>consensuadas en</w:t>
      </w:r>
      <w:r w:rsidR="00F662F3" w:rsidRPr="00260960">
        <w:rPr>
          <w:rFonts w:ascii="Verdana" w:hAnsi="Verdana" w:cs="Arial"/>
          <w:sz w:val="20"/>
          <w:szCs w:val="26"/>
          <w:lang w:eastAsia="es-CL"/>
        </w:rPr>
        <w:t xml:space="preserve"> seminarios regionales </w:t>
      </w:r>
      <w:r w:rsidR="006570F1" w:rsidRPr="00260960">
        <w:rPr>
          <w:rFonts w:ascii="Verdana" w:hAnsi="Verdana" w:cs="Arial"/>
          <w:sz w:val="20"/>
          <w:szCs w:val="26"/>
          <w:lang w:eastAsia="es-CL"/>
        </w:rPr>
        <w:t>y</w:t>
      </w:r>
      <w:r w:rsidR="00F54D95" w:rsidRPr="00260960">
        <w:rPr>
          <w:rFonts w:ascii="Verdana" w:hAnsi="Verdana" w:cs="Arial"/>
          <w:sz w:val="20"/>
          <w:szCs w:val="26"/>
          <w:lang w:eastAsia="es-CL"/>
        </w:rPr>
        <w:t xml:space="preserve"> abiertas a la discusión</w:t>
      </w:r>
      <w:r w:rsidR="006570F1" w:rsidRPr="00260960">
        <w:rPr>
          <w:rFonts w:ascii="Verdana" w:hAnsi="Verdana" w:cs="Arial"/>
          <w:sz w:val="20"/>
          <w:szCs w:val="26"/>
          <w:lang w:eastAsia="es-CL"/>
        </w:rPr>
        <w:t xml:space="preserve"> ciudadana </w:t>
      </w:r>
      <w:r w:rsidR="00F54D95" w:rsidRPr="00260960">
        <w:rPr>
          <w:rFonts w:ascii="Verdana" w:hAnsi="Verdana" w:cs="Arial"/>
          <w:sz w:val="20"/>
          <w:szCs w:val="26"/>
          <w:lang w:eastAsia="es-CL"/>
        </w:rPr>
        <w:t>a través de</w:t>
      </w:r>
      <w:r w:rsidR="006570F1" w:rsidRPr="00260960">
        <w:rPr>
          <w:rFonts w:ascii="Verdana" w:hAnsi="Verdana" w:cs="Arial"/>
          <w:sz w:val="20"/>
          <w:szCs w:val="26"/>
          <w:lang w:eastAsia="es-CL"/>
        </w:rPr>
        <w:t xml:space="preserve"> </w:t>
      </w:r>
      <w:r w:rsidR="00F54D95" w:rsidRPr="00260960">
        <w:rPr>
          <w:rFonts w:ascii="Verdana" w:hAnsi="Verdana" w:cs="Arial"/>
          <w:sz w:val="20"/>
          <w:szCs w:val="26"/>
          <w:lang w:eastAsia="es-CL"/>
        </w:rPr>
        <w:t xml:space="preserve">los </w:t>
      </w:r>
      <w:r w:rsidR="006570F1" w:rsidRPr="00260960">
        <w:rPr>
          <w:rFonts w:ascii="Verdana" w:hAnsi="Verdana" w:cs="Arial"/>
          <w:sz w:val="20"/>
          <w:szCs w:val="26"/>
          <w:lang w:eastAsia="es-CL"/>
        </w:rPr>
        <w:t>sitio</w:t>
      </w:r>
      <w:r w:rsidR="00F54D95" w:rsidRPr="00260960">
        <w:rPr>
          <w:rFonts w:ascii="Verdana" w:hAnsi="Verdana" w:cs="Arial"/>
          <w:sz w:val="20"/>
          <w:szCs w:val="26"/>
          <w:lang w:eastAsia="es-CL"/>
        </w:rPr>
        <w:t>s</w:t>
      </w:r>
      <w:r w:rsidR="006570F1" w:rsidRPr="00260960">
        <w:rPr>
          <w:rFonts w:ascii="Verdana" w:hAnsi="Verdana" w:cs="Arial"/>
          <w:sz w:val="20"/>
          <w:szCs w:val="26"/>
          <w:lang w:eastAsia="es-CL"/>
        </w:rPr>
        <w:t xml:space="preserve"> web </w:t>
      </w:r>
      <w:hyperlink r:id="rId8" w:history="1">
        <w:r w:rsidR="00F662F3" w:rsidRPr="00260960">
          <w:rPr>
            <w:rFonts w:ascii="Verdana" w:hAnsi="Verdana" w:cs="Arial"/>
            <w:sz w:val="20"/>
            <w:szCs w:val="26"/>
            <w:lang w:eastAsia="es-CL"/>
          </w:rPr>
          <w:t>www.rimisp.org</w:t>
        </w:r>
      </w:hyperlink>
      <w:r w:rsidR="00E614B4" w:rsidRPr="00260960">
        <w:rPr>
          <w:rFonts w:ascii="Verdana" w:hAnsi="Verdana" w:cs="Arial"/>
          <w:sz w:val="20"/>
          <w:szCs w:val="26"/>
          <w:lang w:eastAsia="es-CL"/>
        </w:rPr>
        <w:t xml:space="preserve"> </w:t>
      </w:r>
      <w:r w:rsidR="00C7637E" w:rsidRPr="00260960">
        <w:rPr>
          <w:rFonts w:ascii="Verdana" w:hAnsi="Verdana" w:cs="Arial"/>
          <w:sz w:val="20"/>
          <w:szCs w:val="26"/>
          <w:lang w:eastAsia="es-CL"/>
        </w:rPr>
        <w:t xml:space="preserve"> y </w:t>
      </w:r>
      <w:r w:rsidR="000E26DA" w:rsidRPr="00260960">
        <w:rPr>
          <w:rFonts w:ascii="Verdana" w:hAnsi="Verdana" w:cs="Arial"/>
          <w:sz w:val="20"/>
          <w:szCs w:val="26"/>
          <w:lang w:eastAsia="es-CL"/>
        </w:rPr>
        <w:t>www.elquintopoder.cl</w:t>
      </w:r>
    </w:p>
    <w:p w:rsidR="00F662F3" w:rsidRDefault="00F662F3" w:rsidP="00A26136">
      <w:pPr>
        <w:ind w:right="-518"/>
        <w:rPr>
          <w:rFonts w:ascii="Calibri" w:eastAsia="Calibri" w:hAnsi="Calibri"/>
          <w:i/>
          <w:szCs w:val="20"/>
          <w:lang w:val="es-CL" w:eastAsia="en-US"/>
        </w:rPr>
      </w:pPr>
    </w:p>
    <w:p w:rsidR="00A26136" w:rsidRDefault="000F509E" w:rsidP="00A26136">
      <w:pPr>
        <w:ind w:left="-426" w:right="-518"/>
        <w:rPr>
          <w:sz w:val="20"/>
          <w:szCs w:val="20"/>
        </w:rPr>
      </w:pPr>
      <w:r>
        <w:rPr>
          <w:b/>
          <w:sz w:val="16"/>
          <w:szCs w:val="20"/>
        </w:rPr>
        <w:t>06</w:t>
      </w:r>
      <w:r w:rsidR="007249E4" w:rsidRPr="007249E4">
        <w:rPr>
          <w:b/>
          <w:sz w:val="16"/>
          <w:szCs w:val="20"/>
        </w:rPr>
        <w:t xml:space="preserve"> de junio de 2013.</w:t>
      </w:r>
      <w:r w:rsidR="007249E4" w:rsidRPr="007249E4">
        <w:rPr>
          <w:sz w:val="16"/>
          <w:szCs w:val="20"/>
        </w:rPr>
        <w:t xml:space="preserve"> </w:t>
      </w:r>
      <w:r w:rsidR="007249E4" w:rsidRPr="007249E4">
        <w:rPr>
          <w:sz w:val="20"/>
          <w:szCs w:val="20"/>
        </w:rPr>
        <w:t xml:space="preserve">Con </w:t>
      </w:r>
      <w:r w:rsidR="000E6C89">
        <w:rPr>
          <w:sz w:val="20"/>
          <w:szCs w:val="20"/>
        </w:rPr>
        <w:t>el</w:t>
      </w:r>
      <w:r w:rsidR="007249E4">
        <w:rPr>
          <w:sz w:val="20"/>
          <w:szCs w:val="20"/>
        </w:rPr>
        <w:t xml:space="preserve"> diagnóstico que </w:t>
      </w:r>
      <w:r w:rsidR="007249E4" w:rsidRPr="000E6C89">
        <w:rPr>
          <w:sz w:val="20"/>
          <w:szCs w:val="20"/>
        </w:rPr>
        <w:t>en Chile no da los mismos donde se nace</w:t>
      </w:r>
      <w:r w:rsidR="007249E4" w:rsidRPr="007249E4">
        <w:rPr>
          <w:sz w:val="20"/>
          <w:szCs w:val="20"/>
        </w:rPr>
        <w:t xml:space="preserve">, </w:t>
      </w:r>
      <w:r w:rsidR="00D6522B">
        <w:rPr>
          <w:sz w:val="20"/>
          <w:szCs w:val="20"/>
        </w:rPr>
        <w:t xml:space="preserve">el </w:t>
      </w:r>
      <w:r w:rsidR="00DA5D29">
        <w:rPr>
          <w:sz w:val="20"/>
          <w:szCs w:val="20"/>
        </w:rPr>
        <w:t>p</w:t>
      </w:r>
      <w:r w:rsidR="00D6522B">
        <w:rPr>
          <w:sz w:val="20"/>
          <w:szCs w:val="20"/>
        </w:rPr>
        <w:t xml:space="preserve">rograma </w:t>
      </w:r>
      <w:r w:rsidR="00D6522B" w:rsidRPr="00D6522B">
        <w:rPr>
          <w:sz w:val="20"/>
          <w:szCs w:val="20"/>
        </w:rPr>
        <w:t>Cohesión Territorial para el Desarrollo, coordinado por Rimisp-Centro Latinoamericano para el Desarrollo Rural</w:t>
      </w:r>
      <w:r w:rsidR="00D6522B">
        <w:rPr>
          <w:sz w:val="20"/>
          <w:szCs w:val="20"/>
        </w:rPr>
        <w:t xml:space="preserve">, </w:t>
      </w:r>
      <w:r w:rsidR="003C2283">
        <w:rPr>
          <w:sz w:val="20"/>
          <w:szCs w:val="20"/>
        </w:rPr>
        <w:t xml:space="preserve">con </w:t>
      </w:r>
      <w:r w:rsidR="000E6C89">
        <w:rPr>
          <w:sz w:val="20"/>
          <w:szCs w:val="20"/>
        </w:rPr>
        <w:t xml:space="preserve">el apoyo </w:t>
      </w:r>
      <w:r w:rsidR="003C2283">
        <w:rPr>
          <w:sz w:val="20"/>
          <w:szCs w:val="20"/>
        </w:rPr>
        <w:t>de la Universidad de Los Lagos, se reunió hoy en Osorno con actores regionales</w:t>
      </w:r>
      <w:r w:rsidR="000E26DA">
        <w:rPr>
          <w:sz w:val="20"/>
          <w:szCs w:val="20"/>
        </w:rPr>
        <w:t xml:space="preserve"> y de toda la zona sur del país</w:t>
      </w:r>
      <w:r w:rsidR="003C2283">
        <w:rPr>
          <w:sz w:val="20"/>
          <w:szCs w:val="20"/>
        </w:rPr>
        <w:t xml:space="preserve">, en el </w:t>
      </w:r>
      <w:r w:rsidR="000E6C89" w:rsidRPr="007D6F75">
        <w:rPr>
          <w:sz w:val="20"/>
          <w:szCs w:val="20"/>
        </w:rPr>
        <w:t>Seminario “Nueva Agenda Regional (NAR)”</w:t>
      </w:r>
      <w:r w:rsidR="007D6F75" w:rsidRPr="007D6F75">
        <w:rPr>
          <w:sz w:val="20"/>
          <w:szCs w:val="20"/>
        </w:rPr>
        <w:t>. En la oportunidad estuvieron presentes el rector de la Universidad de Los Lagos, Oscar Garrido; la directora ejecutiva de Rimisp, Claudia Serrano</w:t>
      </w:r>
      <w:r w:rsidR="009A3D27">
        <w:rPr>
          <w:sz w:val="20"/>
          <w:szCs w:val="20"/>
        </w:rPr>
        <w:t xml:space="preserve">, </w:t>
      </w:r>
      <w:r w:rsidR="007D6F75" w:rsidRPr="007D6F75">
        <w:rPr>
          <w:sz w:val="20"/>
          <w:szCs w:val="20"/>
        </w:rPr>
        <w:t xml:space="preserve"> los expertos Ego</w:t>
      </w:r>
      <w:r w:rsidR="009A3D27">
        <w:rPr>
          <w:sz w:val="20"/>
          <w:szCs w:val="20"/>
        </w:rPr>
        <w:t>n Montecinos y Hernán Frigolett, y la secretaria técnica de Nueva Agenda Regional, Danae Mlynarz.</w:t>
      </w:r>
    </w:p>
    <w:p w:rsidR="007D6F75" w:rsidRDefault="007D6F75" w:rsidP="00A26136">
      <w:pPr>
        <w:ind w:left="-426" w:right="-518"/>
        <w:rPr>
          <w:b/>
          <w:i/>
          <w:sz w:val="20"/>
          <w:szCs w:val="20"/>
        </w:rPr>
      </w:pPr>
      <w:r>
        <w:rPr>
          <w:b/>
          <w:i/>
          <w:sz w:val="20"/>
          <w:szCs w:val="20"/>
        </w:rPr>
        <w:t xml:space="preserve"> </w:t>
      </w:r>
    </w:p>
    <w:p w:rsidR="00284D90" w:rsidRDefault="007D6F75" w:rsidP="00A26136">
      <w:pPr>
        <w:ind w:left="-426" w:right="-518"/>
        <w:rPr>
          <w:sz w:val="20"/>
          <w:szCs w:val="20"/>
        </w:rPr>
      </w:pPr>
      <w:r>
        <w:rPr>
          <w:sz w:val="20"/>
          <w:szCs w:val="20"/>
        </w:rPr>
        <w:t xml:space="preserve">La iniciativa desarrollada con la participación de cerca de un centenar de participantes, </w:t>
      </w:r>
      <w:r w:rsidR="000E26DA">
        <w:rPr>
          <w:sz w:val="20"/>
          <w:szCs w:val="20"/>
        </w:rPr>
        <w:t>tuvo como objetivo</w:t>
      </w:r>
      <w:r w:rsidR="000E6C89">
        <w:rPr>
          <w:sz w:val="20"/>
          <w:szCs w:val="20"/>
        </w:rPr>
        <w:t xml:space="preserve"> consensuar </w:t>
      </w:r>
      <w:r w:rsidR="00AB7224">
        <w:rPr>
          <w:sz w:val="20"/>
          <w:szCs w:val="20"/>
        </w:rPr>
        <w:t xml:space="preserve">las propuestas de una decena de expertos en materia </w:t>
      </w:r>
      <w:r w:rsidR="007249E4" w:rsidRPr="00981EC7">
        <w:rPr>
          <w:sz w:val="20"/>
          <w:szCs w:val="20"/>
        </w:rPr>
        <w:t>de desarrollo económico</w:t>
      </w:r>
      <w:r w:rsidR="00AB7224">
        <w:rPr>
          <w:sz w:val="20"/>
          <w:szCs w:val="20"/>
        </w:rPr>
        <w:t xml:space="preserve">, social y descentralización, las </w:t>
      </w:r>
      <w:r w:rsidR="007249E4" w:rsidRPr="00981EC7">
        <w:rPr>
          <w:sz w:val="20"/>
          <w:szCs w:val="20"/>
        </w:rPr>
        <w:t>que conflu</w:t>
      </w:r>
      <w:r w:rsidR="00C7637E">
        <w:rPr>
          <w:sz w:val="20"/>
          <w:szCs w:val="20"/>
        </w:rPr>
        <w:t xml:space="preserve">yen </w:t>
      </w:r>
      <w:r w:rsidR="007249E4" w:rsidRPr="00981EC7">
        <w:rPr>
          <w:sz w:val="20"/>
          <w:szCs w:val="20"/>
        </w:rPr>
        <w:t xml:space="preserve">en </w:t>
      </w:r>
      <w:r w:rsidR="000E6C89">
        <w:rPr>
          <w:sz w:val="20"/>
          <w:szCs w:val="20"/>
        </w:rPr>
        <w:t xml:space="preserve">la iniciativa </w:t>
      </w:r>
      <w:r>
        <w:rPr>
          <w:sz w:val="20"/>
          <w:szCs w:val="20"/>
        </w:rPr>
        <w:t>denominada Nueva Agenda Regional</w:t>
      </w:r>
      <w:r w:rsidR="000E6C89">
        <w:rPr>
          <w:sz w:val="20"/>
          <w:szCs w:val="20"/>
        </w:rPr>
        <w:t>.</w:t>
      </w:r>
      <w:r w:rsidR="00AB7224">
        <w:rPr>
          <w:sz w:val="20"/>
          <w:szCs w:val="20"/>
        </w:rPr>
        <w:t xml:space="preserve"> Estas serán entregadas</w:t>
      </w:r>
      <w:r w:rsidR="000E26DA">
        <w:rPr>
          <w:sz w:val="20"/>
          <w:szCs w:val="20"/>
        </w:rPr>
        <w:t xml:space="preserve"> </w:t>
      </w:r>
      <w:r w:rsidR="00260960">
        <w:rPr>
          <w:sz w:val="20"/>
          <w:szCs w:val="20"/>
        </w:rPr>
        <w:t>-</w:t>
      </w:r>
      <w:r w:rsidR="000E26DA">
        <w:rPr>
          <w:sz w:val="20"/>
          <w:szCs w:val="20"/>
        </w:rPr>
        <w:t>de manera</w:t>
      </w:r>
      <w:r w:rsidR="00AB7224">
        <w:rPr>
          <w:sz w:val="20"/>
          <w:szCs w:val="20"/>
        </w:rPr>
        <w:t xml:space="preserve"> transversal</w:t>
      </w:r>
      <w:r w:rsidR="00260960">
        <w:rPr>
          <w:sz w:val="20"/>
          <w:szCs w:val="20"/>
        </w:rPr>
        <w:t>-</w:t>
      </w:r>
      <w:r w:rsidR="00AB7224">
        <w:rPr>
          <w:sz w:val="20"/>
          <w:szCs w:val="20"/>
        </w:rPr>
        <w:t xml:space="preserve"> a los candidatos presidenciales y al Congreso, para que sean consideradas en un </w:t>
      </w:r>
      <w:r w:rsidR="00AB7224" w:rsidRPr="000E6C89">
        <w:rPr>
          <w:sz w:val="20"/>
          <w:szCs w:val="20"/>
        </w:rPr>
        <w:t>próximo gobierno.</w:t>
      </w:r>
      <w:r w:rsidR="00224A89" w:rsidRPr="000E6C89">
        <w:rPr>
          <w:sz w:val="20"/>
          <w:szCs w:val="20"/>
        </w:rPr>
        <w:t xml:space="preserve"> </w:t>
      </w:r>
    </w:p>
    <w:p w:rsidR="00A26136" w:rsidRPr="00A26136" w:rsidRDefault="00A26136" w:rsidP="00A26136">
      <w:pPr>
        <w:ind w:left="-426" w:right="-518"/>
        <w:rPr>
          <w:b/>
          <w:i/>
          <w:sz w:val="14"/>
          <w:szCs w:val="20"/>
        </w:rPr>
      </w:pPr>
    </w:p>
    <w:p w:rsidR="000E6C89" w:rsidRDefault="000E6C89" w:rsidP="00A26136">
      <w:pPr>
        <w:ind w:left="-426" w:right="-518"/>
        <w:rPr>
          <w:sz w:val="20"/>
          <w:szCs w:val="20"/>
        </w:rPr>
      </w:pPr>
      <w:r w:rsidRPr="000E6C89">
        <w:rPr>
          <w:sz w:val="20"/>
          <w:szCs w:val="20"/>
        </w:rPr>
        <w:t xml:space="preserve">Para la directora ejecutiva de Rimisp, Claudia Serrano, “Chile es un país de arraigada tradición centralista, el más centralizado de América Latina y de los países que adscriben a la OECD. Esto  es una gran limitante para el funcionamiento de la democracia, marcando la desigualdad territorial y </w:t>
      </w:r>
      <w:r w:rsidR="00E614B4">
        <w:rPr>
          <w:sz w:val="20"/>
          <w:szCs w:val="20"/>
        </w:rPr>
        <w:t>s</w:t>
      </w:r>
      <w:r w:rsidRPr="000E6C89">
        <w:rPr>
          <w:sz w:val="20"/>
          <w:szCs w:val="20"/>
        </w:rPr>
        <w:t>us efectos sobre el desarrollo de las personas que habitan en regiones”.</w:t>
      </w:r>
    </w:p>
    <w:p w:rsidR="000E26DA" w:rsidRDefault="000E26DA" w:rsidP="00A26136">
      <w:pPr>
        <w:ind w:left="-426" w:right="-518"/>
        <w:rPr>
          <w:sz w:val="20"/>
          <w:szCs w:val="20"/>
        </w:rPr>
      </w:pPr>
    </w:p>
    <w:p w:rsidR="000E26DA" w:rsidRPr="00E614B4" w:rsidRDefault="007037AE" w:rsidP="00A26136">
      <w:pPr>
        <w:ind w:left="-426" w:right="-518"/>
        <w:rPr>
          <w:rFonts w:cs="Arial"/>
          <w:color w:val="1F3A66"/>
          <w:sz w:val="20"/>
          <w:szCs w:val="26"/>
          <w:lang w:val="es-CL" w:eastAsia="es-CL"/>
        </w:rPr>
      </w:pPr>
      <w:r w:rsidRPr="000E6C89">
        <w:rPr>
          <w:sz w:val="20"/>
          <w:szCs w:val="20"/>
        </w:rPr>
        <w:t>Las propuestas elaboradas por Andrea Bentancor, en Empleo; Hernán Frigole</w:t>
      </w:r>
      <w:r w:rsidR="00DA5D29">
        <w:rPr>
          <w:sz w:val="20"/>
          <w:szCs w:val="20"/>
        </w:rPr>
        <w:t>t</w:t>
      </w:r>
      <w:r w:rsidRPr="000E6C89">
        <w:rPr>
          <w:sz w:val="20"/>
          <w:szCs w:val="20"/>
        </w:rPr>
        <w:t>t, Desarrollo</w:t>
      </w:r>
      <w:r w:rsidRPr="007037AE">
        <w:rPr>
          <w:sz w:val="20"/>
          <w:szCs w:val="20"/>
        </w:rPr>
        <w:t xml:space="preserve"> Productivo; Juan Carlos Feres, en Pobreza; Ricardo Fábrega, en Salud; Miguel Crispi, en Educación; Gonzalo Delamaza en Capacidades Territoriales; Egon Montecinos en Descentralización Política y Capacidades Públicas; y Sergio Granados y Jorge Rodríguez, en materia de</w:t>
      </w:r>
      <w:r>
        <w:rPr>
          <w:sz w:val="20"/>
          <w:szCs w:val="20"/>
        </w:rPr>
        <w:t xml:space="preserve"> Financiamiento del Desarrollo, buscan incorporar el concepto de </w:t>
      </w:r>
      <w:r w:rsidRPr="007037AE">
        <w:rPr>
          <w:b/>
          <w:i/>
          <w:sz w:val="20"/>
          <w:szCs w:val="20"/>
        </w:rPr>
        <w:t>Cohesión Territorial</w:t>
      </w:r>
      <w:r w:rsidR="000E26DA">
        <w:rPr>
          <w:b/>
          <w:i/>
          <w:sz w:val="20"/>
          <w:szCs w:val="20"/>
        </w:rPr>
        <w:t xml:space="preserve">, </w:t>
      </w:r>
      <w:r w:rsidR="00D25396" w:rsidRPr="00E614B4">
        <w:rPr>
          <w:rFonts w:cs="Arial"/>
          <w:sz w:val="20"/>
          <w:szCs w:val="26"/>
          <w:lang w:val="es-CL" w:eastAsia="es-CL"/>
        </w:rPr>
        <w:t>el cual apunta a que los habitantes de todos los territorios de Chile tengan similares oportunidades de desarrollo, que ningún territorio tenga niveles de bienestar por debajo de los mínimos que como sociedad consideremos indispensables y que exista convergencia rápida para que las grandes brechas de hoy se reduzcan hasta niveles compatibles con el de una sociedad que aspira a considerarse desarrollada.</w:t>
      </w:r>
    </w:p>
    <w:p w:rsidR="00A26136" w:rsidRDefault="00A26136" w:rsidP="00A26136">
      <w:pPr>
        <w:ind w:left="-426" w:right="-518"/>
        <w:rPr>
          <w:sz w:val="20"/>
          <w:szCs w:val="20"/>
        </w:rPr>
      </w:pPr>
    </w:p>
    <w:p w:rsidR="006B3C15" w:rsidRDefault="00FF7511" w:rsidP="00A26136">
      <w:pPr>
        <w:ind w:left="-426" w:right="-518"/>
        <w:rPr>
          <w:b/>
          <w:sz w:val="20"/>
          <w:szCs w:val="20"/>
        </w:rPr>
      </w:pPr>
      <w:r>
        <w:rPr>
          <w:b/>
          <w:sz w:val="20"/>
          <w:szCs w:val="20"/>
        </w:rPr>
        <w:t>C</w:t>
      </w:r>
      <w:r w:rsidR="006B3C15">
        <w:rPr>
          <w:b/>
          <w:sz w:val="20"/>
          <w:szCs w:val="20"/>
        </w:rPr>
        <w:t>onsenso regional</w:t>
      </w:r>
      <w:r>
        <w:rPr>
          <w:b/>
          <w:sz w:val="20"/>
          <w:szCs w:val="20"/>
        </w:rPr>
        <w:t xml:space="preserve"> y ciudadano</w:t>
      </w:r>
    </w:p>
    <w:p w:rsidR="006B3C15" w:rsidRDefault="006B3C15" w:rsidP="00A26136">
      <w:pPr>
        <w:ind w:left="-426" w:right="-567"/>
        <w:rPr>
          <w:sz w:val="20"/>
          <w:szCs w:val="20"/>
        </w:rPr>
      </w:pPr>
      <w:r w:rsidRPr="006B3C15">
        <w:rPr>
          <w:sz w:val="20"/>
          <w:szCs w:val="20"/>
        </w:rPr>
        <w:t xml:space="preserve">Nueva Agenda Regional (NAR), </w:t>
      </w:r>
      <w:r>
        <w:rPr>
          <w:sz w:val="20"/>
          <w:szCs w:val="20"/>
        </w:rPr>
        <w:t xml:space="preserve">iniciativa </w:t>
      </w:r>
      <w:r w:rsidR="00A26136">
        <w:rPr>
          <w:sz w:val="20"/>
          <w:szCs w:val="20"/>
        </w:rPr>
        <w:t>impulsada por Rimisp -</w:t>
      </w:r>
      <w:r w:rsidRPr="006B3C15">
        <w:rPr>
          <w:sz w:val="20"/>
          <w:szCs w:val="20"/>
        </w:rPr>
        <w:t xml:space="preserve">organización </w:t>
      </w:r>
      <w:r w:rsidR="00A26136">
        <w:rPr>
          <w:sz w:val="20"/>
          <w:szCs w:val="20"/>
        </w:rPr>
        <w:t>sin fines de lucro</w:t>
      </w:r>
      <w:r w:rsidRPr="006B3C15">
        <w:rPr>
          <w:sz w:val="20"/>
          <w:szCs w:val="20"/>
        </w:rPr>
        <w:t xml:space="preserve"> que trabaja temáticas vinculadas con pobreza </w:t>
      </w:r>
      <w:r>
        <w:rPr>
          <w:sz w:val="20"/>
          <w:szCs w:val="20"/>
        </w:rPr>
        <w:t>y desigualdad en América Latina</w:t>
      </w:r>
      <w:r w:rsidR="00A26136">
        <w:rPr>
          <w:sz w:val="20"/>
          <w:szCs w:val="20"/>
        </w:rPr>
        <w:t>-</w:t>
      </w:r>
      <w:r>
        <w:rPr>
          <w:sz w:val="20"/>
          <w:szCs w:val="20"/>
        </w:rPr>
        <w:t>, ha concordado una serie de propuestas</w:t>
      </w:r>
      <w:r w:rsidR="00FF7511">
        <w:rPr>
          <w:sz w:val="20"/>
          <w:szCs w:val="20"/>
        </w:rPr>
        <w:t xml:space="preserve"> a</w:t>
      </w:r>
      <w:r w:rsidR="00A26136">
        <w:rPr>
          <w:sz w:val="20"/>
          <w:szCs w:val="20"/>
        </w:rPr>
        <w:t xml:space="preserve"> </w:t>
      </w:r>
      <w:r w:rsidR="00FF7511">
        <w:rPr>
          <w:sz w:val="20"/>
          <w:szCs w:val="20"/>
        </w:rPr>
        <w:t>corto y largo plazo</w:t>
      </w:r>
      <w:r>
        <w:rPr>
          <w:sz w:val="20"/>
          <w:szCs w:val="20"/>
        </w:rPr>
        <w:t xml:space="preserve">, las que </w:t>
      </w:r>
      <w:r w:rsidR="000E26DA">
        <w:rPr>
          <w:sz w:val="20"/>
          <w:szCs w:val="20"/>
        </w:rPr>
        <w:t xml:space="preserve">están siendo </w:t>
      </w:r>
      <w:r>
        <w:rPr>
          <w:sz w:val="20"/>
          <w:szCs w:val="20"/>
        </w:rPr>
        <w:t xml:space="preserve">consensuadas a través de seminarios regionales, en Osorno, Antofagasta, Talca y Santiago. En ellos los principales actores de cada </w:t>
      </w:r>
      <w:r w:rsidR="000E26DA">
        <w:rPr>
          <w:sz w:val="20"/>
          <w:szCs w:val="20"/>
        </w:rPr>
        <w:t xml:space="preserve">macro </w:t>
      </w:r>
      <w:r>
        <w:rPr>
          <w:sz w:val="20"/>
          <w:szCs w:val="20"/>
        </w:rPr>
        <w:t xml:space="preserve">zona, en conjunto con los investigadores, discutirán los alcances de las propuestas y sus reales efectos sobre los territorios. </w:t>
      </w:r>
    </w:p>
    <w:p w:rsidR="00FF7511" w:rsidRPr="00A26136" w:rsidRDefault="00FF7511" w:rsidP="00A26136">
      <w:pPr>
        <w:ind w:left="-426" w:right="-567"/>
        <w:rPr>
          <w:sz w:val="12"/>
          <w:szCs w:val="20"/>
        </w:rPr>
      </w:pPr>
    </w:p>
    <w:p w:rsidR="00FF7511" w:rsidRDefault="00FF7511" w:rsidP="00A26136">
      <w:pPr>
        <w:ind w:left="-426" w:right="-567"/>
        <w:rPr>
          <w:sz w:val="20"/>
          <w:szCs w:val="20"/>
        </w:rPr>
      </w:pPr>
      <w:r>
        <w:rPr>
          <w:sz w:val="20"/>
          <w:szCs w:val="20"/>
        </w:rPr>
        <w:lastRenderedPageBreak/>
        <w:t xml:space="preserve">Además, para generar una base de participación ciudadana, se </w:t>
      </w:r>
      <w:r w:rsidR="000E26DA">
        <w:rPr>
          <w:sz w:val="20"/>
          <w:szCs w:val="20"/>
        </w:rPr>
        <w:t>cuenta</w:t>
      </w:r>
      <w:r w:rsidR="00A26136">
        <w:rPr>
          <w:sz w:val="20"/>
          <w:szCs w:val="20"/>
        </w:rPr>
        <w:t xml:space="preserve"> </w:t>
      </w:r>
      <w:r>
        <w:rPr>
          <w:sz w:val="20"/>
          <w:szCs w:val="20"/>
        </w:rPr>
        <w:t xml:space="preserve">con un portal en </w:t>
      </w:r>
      <w:hyperlink r:id="rId9" w:history="1">
        <w:r w:rsidRPr="00C054F1">
          <w:rPr>
            <w:rStyle w:val="Hipervnculo"/>
            <w:sz w:val="20"/>
            <w:szCs w:val="20"/>
          </w:rPr>
          <w:t>www.rimisp.org</w:t>
        </w:r>
      </w:hyperlink>
      <w:r>
        <w:rPr>
          <w:sz w:val="20"/>
          <w:szCs w:val="20"/>
        </w:rPr>
        <w:t xml:space="preserve"> y </w:t>
      </w:r>
      <w:hyperlink r:id="rId10" w:history="1">
        <w:r w:rsidR="00A26136" w:rsidRPr="00C054F1">
          <w:rPr>
            <w:rStyle w:val="Hipervnculo"/>
            <w:sz w:val="20"/>
            <w:szCs w:val="20"/>
          </w:rPr>
          <w:t>www.elquintopoder.cl</w:t>
        </w:r>
      </w:hyperlink>
      <w:r>
        <w:rPr>
          <w:sz w:val="20"/>
          <w:szCs w:val="20"/>
        </w:rPr>
        <w:t>, en el que las personas encontrarán en detalle los diagnósticos de desigualdad territorial por tema, así como las 10 principales propuestas de los expertos, las que serán votadas por el público. A esto se suma un espacio de consulta y/o comentarios</w:t>
      </w:r>
      <w:r w:rsidR="000E26DA">
        <w:rPr>
          <w:sz w:val="20"/>
          <w:szCs w:val="20"/>
        </w:rPr>
        <w:t xml:space="preserve"> y</w:t>
      </w:r>
      <w:r>
        <w:rPr>
          <w:sz w:val="20"/>
          <w:szCs w:val="20"/>
        </w:rPr>
        <w:t xml:space="preserve"> encuestas. </w:t>
      </w:r>
    </w:p>
    <w:p w:rsidR="000E26DA" w:rsidRDefault="000E26DA" w:rsidP="00A26136">
      <w:pPr>
        <w:ind w:left="-426" w:right="-567"/>
        <w:rPr>
          <w:sz w:val="20"/>
          <w:szCs w:val="20"/>
        </w:rPr>
      </w:pPr>
    </w:p>
    <w:p w:rsidR="00FF7511" w:rsidRDefault="00FF7511" w:rsidP="00A26136">
      <w:pPr>
        <w:ind w:left="-426" w:right="-567"/>
        <w:rPr>
          <w:b/>
          <w:sz w:val="20"/>
          <w:szCs w:val="20"/>
        </w:rPr>
      </w:pPr>
      <w:r>
        <w:rPr>
          <w:b/>
          <w:sz w:val="20"/>
          <w:szCs w:val="20"/>
        </w:rPr>
        <w:t>Principales p</w:t>
      </w:r>
      <w:r w:rsidRPr="006B3C15">
        <w:rPr>
          <w:b/>
          <w:sz w:val="20"/>
          <w:szCs w:val="20"/>
        </w:rPr>
        <w:t>ropuestas</w:t>
      </w:r>
    </w:p>
    <w:p w:rsidR="001F1EC6" w:rsidRDefault="000E26DA" w:rsidP="00A26136">
      <w:pPr>
        <w:ind w:left="-426" w:right="-567"/>
        <w:rPr>
          <w:sz w:val="20"/>
          <w:szCs w:val="20"/>
        </w:rPr>
      </w:pPr>
      <w:r>
        <w:rPr>
          <w:sz w:val="20"/>
          <w:szCs w:val="20"/>
        </w:rPr>
        <w:t>Las</w:t>
      </w:r>
      <w:r w:rsidR="00FF7511" w:rsidRPr="00FF7511">
        <w:rPr>
          <w:sz w:val="20"/>
          <w:szCs w:val="20"/>
        </w:rPr>
        <w:t xml:space="preserve"> </w:t>
      </w:r>
      <w:r w:rsidR="00234A9E">
        <w:rPr>
          <w:sz w:val="20"/>
          <w:szCs w:val="20"/>
        </w:rPr>
        <w:t xml:space="preserve">principales </w:t>
      </w:r>
      <w:r w:rsidR="00FF7511" w:rsidRPr="00FF7511">
        <w:rPr>
          <w:sz w:val="20"/>
          <w:szCs w:val="20"/>
        </w:rPr>
        <w:t xml:space="preserve">propuestas </w:t>
      </w:r>
      <w:r w:rsidR="00A26136">
        <w:rPr>
          <w:sz w:val="20"/>
          <w:szCs w:val="20"/>
        </w:rPr>
        <w:t xml:space="preserve">de los investigadores de Nueva Agenda Regional, </w:t>
      </w:r>
      <w:r>
        <w:rPr>
          <w:sz w:val="20"/>
          <w:szCs w:val="20"/>
        </w:rPr>
        <w:t>buscan</w:t>
      </w:r>
      <w:r w:rsidR="00234A9E">
        <w:rPr>
          <w:sz w:val="20"/>
          <w:szCs w:val="20"/>
        </w:rPr>
        <w:t xml:space="preserve"> </w:t>
      </w:r>
      <w:r w:rsidR="00FF7511">
        <w:rPr>
          <w:sz w:val="20"/>
          <w:szCs w:val="20"/>
        </w:rPr>
        <w:t xml:space="preserve">avanzar en </w:t>
      </w:r>
      <w:r w:rsidR="00234A9E">
        <w:rPr>
          <w:sz w:val="20"/>
          <w:szCs w:val="20"/>
        </w:rPr>
        <w:t xml:space="preserve">forma concreta, en </w:t>
      </w:r>
      <w:r w:rsidR="00A26136">
        <w:rPr>
          <w:sz w:val="20"/>
          <w:szCs w:val="20"/>
        </w:rPr>
        <w:t>más</w:t>
      </w:r>
      <w:r w:rsidR="00234A9E">
        <w:rPr>
          <w:sz w:val="20"/>
          <w:szCs w:val="20"/>
        </w:rPr>
        <w:t xml:space="preserve"> oportunidades de </w:t>
      </w:r>
      <w:r w:rsidR="001F1EC6">
        <w:rPr>
          <w:sz w:val="20"/>
          <w:szCs w:val="20"/>
        </w:rPr>
        <w:t xml:space="preserve">desarrollo </w:t>
      </w:r>
      <w:r w:rsidR="00A26136">
        <w:rPr>
          <w:sz w:val="20"/>
          <w:szCs w:val="20"/>
        </w:rPr>
        <w:t xml:space="preserve">para </w:t>
      </w:r>
      <w:r w:rsidR="00234A9E">
        <w:rPr>
          <w:sz w:val="20"/>
          <w:szCs w:val="20"/>
        </w:rPr>
        <w:t>cada región</w:t>
      </w:r>
      <w:r>
        <w:rPr>
          <w:sz w:val="20"/>
          <w:szCs w:val="20"/>
        </w:rPr>
        <w:t>:</w:t>
      </w:r>
    </w:p>
    <w:p w:rsidR="001F1EC6" w:rsidRDefault="001F1EC6" w:rsidP="00A26136">
      <w:pPr>
        <w:ind w:left="-426" w:right="-567"/>
        <w:rPr>
          <w:sz w:val="14"/>
          <w:szCs w:val="20"/>
        </w:rPr>
      </w:pPr>
    </w:p>
    <w:p w:rsidR="00A318D2" w:rsidRDefault="00A318D2" w:rsidP="00A26136">
      <w:pPr>
        <w:ind w:left="-426" w:right="-567"/>
        <w:rPr>
          <w:sz w:val="14"/>
          <w:szCs w:val="20"/>
        </w:rPr>
      </w:pPr>
    </w:p>
    <w:p w:rsidR="009C6680" w:rsidRPr="00861A80" w:rsidRDefault="009C6680" w:rsidP="009C6680">
      <w:pPr>
        <w:numPr>
          <w:ilvl w:val="0"/>
          <w:numId w:val="26"/>
        </w:numPr>
        <w:ind w:left="-284" w:hanging="142"/>
        <w:rPr>
          <w:b/>
          <w:i/>
          <w:sz w:val="20"/>
          <w:szCs w:val="20"/>
        </w:rPr>
      </w:pPr>
      <w:r w:rsidRPr="00861A80">
        <w:rPr>
          <w:b/>
          <w:sz w:val="20"/>
          <w:szCs w:val="20"/>
        </w:rPr>
        <w:t>Elegir por sufragio popular al Intendente Regional.</w:t>
      </w:r>
      <w:r w:rsidRPr="00861A80">
        <w:rPr>
          <w:b/>
          <w:i/>
          <w:sz w:val="20"/>
          <w:szCs w:val="20"/>
        </w:rPr>
        <w:t xml:space="preserve"> </w:t>
      </w:r>
    </w:p>
    <w:p w:rsidR="009C6680" w:rsidRPr="00861A80" w:rsidRDefault="009C6680" w:rsidP="009C6680">
      <w:pPr>
        <w:ind w:left="-426"/>
        <w:rPr>
          <w:i/>
          <w:sz w:val="20"/>
          <w:szCs w:val="20"/>
        </w:rPr>
      </w:pPr>
      <w:r w:rsidRPr="00861A80">
        <w:rPr>
          <w:i/>
          <w:sz w:val="20"/>
          <w:szCs w:val="20"/>
        </w:rPr>
        <w:t>Elegir de manera directa al Intendente es una necesidad para garantizar la legitimad y representación territorial en la acción de gobierno en la región, lo cual no es excluyente con mantener un representante directo e inmediato del Presidente de la República en regiones.</w:t>
      </w:r>
    </w:p>
    <w:p w:rsidR="009C6680" w:rsidRDefault="009C6680" w:rsidP="009C6680">
      <w:pPr>
        <w:ind w:left="-284"/>
        <w:rPr>
          <w:b/>
          <w:sz w:val="20"/>
          <w:szCs w:val="20"/>
        </w:rPr>
      </w:pPr>
    </w:p>
    <w:p w:rsidR="009C6680" w:rsidRPr="00861A80" w:rsidRDefault="009C6680" w:rsidP="009C6680">
      <w:pPr>
        <w:numPr>
          <w:ilvl w:val="0"/>
          <w:numId w:val="26"/>
        </w:numPr>
        <w:ind w:left="0" w:hanging="426"/>
        <w:rPr>
          <w:b/>
          <w:sz w:val="20"/>
          <w:szCs w:val="20"/>
        </w:rPr>
      </w:pPr>
      <w:r w:rsidRPr="00861A80">
        <w:rPr>
          <w:b/>
          <w:sz w:val="20"/>
          <w:szCs w:val="20"/>
        </w:rPr>
        <w:t>Crear por ley un Fondo de Convergencia Regional para apoyar el desarrollo de los territorios más rezagados en materia de desarrollo socioeconómico.</w:t>
      </w:r>
    </w:p>
    <w:p w:rsidR="009C6680" w:rsidRPr="00861A80" w:rsidRDefault="009C6680" w:rsidP="009C6680">
      <w:pPr>
        <w:ind w:left="-426"/>
        <w:rPr>
          <w:i/>
          <w:sz w:val="20"/>
          <w:szCs w:val="20"/>
        </w:rPr>
      </w:pPr>
      <w:r w:rsidRPr="00861A80">
        <w:rPr>
          <w:i/>
          <w:sz w:val="20"/>
          <w:szCs w:val="20"/>
        </w:rPr>
        <w:t xml:space="preserve">Este Fondo sería complementario al Fondo Nacional de Desarrollo Regional (FNDR), pues consideraría como criterio básico para la asignación de recursos las brechas existentes en distintos indicadores socioeconómicos regionales respecto del promedio nacional. Dentro de estas brechas también deben incluírselas brechas de capacidad de gestión de los Gobiernos Regionales. </w:t>
      </w:r>
    </w:p>
    <w:p w:rsidR="009C6680" w:rsidRPr="0041184E" w:rsidRDefault="009C6680" w:rsidP="009C6680">
      <w:pPr>
        <w:rPr>
          <w:b/>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 xml:space="preserve">Establecer por ley un impuesto específico de beneficio para los municipios y para los Gobiernos Regionales (compartido en una proporción a determinar), a aquellas actividades empresariales y proyectos de inversión que por su naturaleza generen externalidades negativas en el territorio donde se ubican. </w:t>
      </w:r>
    </w:p>
    <w:p w:rsidR="009C6680" w:rsidRPr="0041184E" w:rsidRDefault="009C6680" w:rsidP="009C6680">
      <w:pPr>
        <w:ind w:left="-426"/>
        <w:rPr>
          <w:i/>
          <w:sz w:val="20"/>
          <w:szCs w:val="20"/>
        </w:rPr>
      </w:pPr>
      <w:r w:rsidRPr="0041184E">
        <w:rPr>
          <w:i/>
          <w:sz w:val="20"/>
          <w:szCs w:val="20"/>
        </w:rPr>
        <w:t>Este impuesto sería un ingreso propio de los municipios y Gobiernos Regionales que lo reciban, por lo que el uso de los recursos recaudados sería de libre disposición. El impuesto en cuestión debiese pagarse en cuotas mensuales, y debiese aplicarse mientras la actividad generadora de externalidades esté en funcionamiento. El pago de este impuesto en ningún caso debe eximir a los proyectos de cumplir las normas (ambientales, sanitarias, laborales y otras) que la ley les exige.</w:t>
      </w:r>
    </w:p>
    <w:p w:rsidR="009C6680" w:rsidRPr="00861A80" w:rsidRDefault="009C6680" w:rsidP="009C6680">
      <w:pPr>
        <w:ind w:left="360"/>
        <w:rPr>
          <w:sz w:val="20"/>
          <w:szCs w:val="20"/>
          <w:lang w:eastAsia="zh-CN"/>
        </w:rPr>
      </w:pPr>
    </w:p>
    <w:p w:rsidR="009C6680" w:rsidRPr="00861A80" w:rsidRDefault="009C6680" w:rsidP="009C6680">
      <w:pPr>
        <w:numPr>
          <w:ilvl w:val="0"/>
          <w:numId w:val="26"/>
        </w:numPr>
        <w:ind w:left="0" w:hanging="426"/>
        <w:rPr>
          <w:b/>
          <w:sz w:val="20"/>
          <w:szCs w:val="20"/>
        </w:rPr>
      </w:pPr>
      <w:r w:rsidRPr="0041184E">
        <w:rPr>
          <w:b/>
          <w:sz w:val="20"/>
          <w:szCs w:val="20"/>
        </w:rPr>
        <w:t xml:space="preserve">Desarrollar programas de formación de la dirigencia social para capacitar líderes sociales en regiones. </w:t>
      </w:r>
      <w:r w:rsidRPr="00861A80">
        <w:rPr>
          <w:b/>
          <w:sz w:val="20"/>
          <w:szCs w:val="20"/>
        </w:rPr>
        <w:t xml:space="preserve"> </w:t>
      </w:r>
    </w:p>
    <w:p w:rsidR="009C6680" w:rsidRPr="00861A80" w:rsidRDefault="009C6680" w:rsidP="009C6680">
      <w:pPr>
        <w:ind w:left="-426"/>
        <w:rPr>
          <w:i/>
          <w:sz w:val="20"/>
          <w:szCs w:val="20"/>
        </w:rPr>
      </w:pPr>
      <w:r w:rsidRPr="00861A80">
        <w:rPr>
          <w:i/>
          <w:sz w:val="20"/>
          <w:szCs w:val="20"/>
        </w:rPr>
        <w:t>El gran ausente de las políticas de participación ha sido el componente de fortalecimiento de la sociedad civil, cuestión fundamental en el marco de una estrategia de fortalecimiento de las capacidades regionales para el desarrollo. Es necesario capacitar líderes para la actuación pública: esto puede canalizarse a través del Fondo de Fortalecimiento de las Organizaciones de Interés Público y debiera permitir abrir un espacio en las universidades para la formación de la dirigencia social.</w:t>
      </w:r>
    </w:p>
    <w:p w:rsidR="009C6680" w:rsidRPr="0041184E" w:rsidRDefault="009C6680" w:rsidP="009C6680">
      <w:pPr>
        <w:rPr>
          <w:b/>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 xml:space="preserve">Reformar la institucionalidad pública encargada de la generación de información estadística y tributaria, de modo tal de asegurar la existencia de información desagregada a escala regional y comunal para el adecuado planteamiento y seguimiento de políticas de desarrollo en los territorios. </w:t>
      </w:r>
    </w:p>
    <w:p w:rsidR="009C6680" w:rsidRPr="00861A80" w:rsidRDefault="009C6680" w:rsidP="009C6680">
      <w:pPr>
        <w:pStyle w:val="Prrafodelista"/>
        <w:ind w:left="360" w:right="-93"/>
        <w:contextualSpacing w:val="0"/>
        <w:rPr>
          <w:rFonts w:ascii="Verdana" w:hAnsi="Verdana"/>
          <w:b/>
          <w:sz w:val="20"/>
          <w:szCs w:val="20"/>
        </w:rPr>
      </w:pPr>
    </w:p>
    <w:p w:rsidR="009C6680" w:rsidRPr="00861A80" w:rsidRDefault="009C6680" w:rsidP="009C6680">
      <w:pPr>
        <w:ind w:left="-426"/>
        <w:rPr>
          <w:i/>
          <w:sz w:val="20"/>
          <w:szCs w:val="20"/>
        </w:rPr>
      </w:pPr>
      <w:r w:rsidRPr="00861A80">
        <w:rPr>
          <w:i/>
          <w:sz w:val="20"/>
          <w:szCs w:val="20"/>
        </w:rPr>
        <w:t xml:space="preserve">Gran parte de la información generada por el INE no tiene representatividad estadística a nivel regional y, menos aún, a nivel comunal. La encuesta CASEN que se usa para la </w:t>
      </w:r>
      <w:r w:rsidRPr="00861A80">
        <w:rPr>
          <w:i/>
          <w:sz w:val="20"/>
          <w:szCs w:val="20"/>
        </w:rPr>
        <w:lastRenderedPageBreak/>
        <w:t>focalización de las políticas sociales y para hacer un seguimiento de la pobreza, tampoco es representativa a nivel comunal. Decisiones fundamentales como el IPC y la línea de pobreza se basan en encuestas que solo se hacen en algunas grandes ciudades. Incluso los impuestos que pagan las empresas se registran como generados en la ciudad donde tienen su casa matriz, que en la gran mayoría de los casos es Santiago. Ello debilita notoriamente las capacidades de diagnósticos, de diseño de políticas,  de evaluación de impactos y de control social de las decisiones de política pública.</w:t>
      </w:r>
    </w:p>
    <w:p w:rsidR="009C6680" w:rsidRPr="00861A80" w:rsidRDefault="009C6680" w:rsidP="009C6680">
      <w:pPr>
        <w:ind w:left="357"/>
        <w:rPr>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Reformar los programas sociales de capacitación vía SENCE a través de una oferta diferenciada para cada región, estimando regionalmente la demanda (cantidad de cupos y áreas).</w:t>
      </w:r>
    </w:p>
    <w:p w:rsidR="009C6680" w:rsidRPr="0041184E" w:rsidRDefault="009C6680" w:rsidP="009C6680">
      <w:pPr>
        <w:ind w:left="-426"/>
        <w:rPr>
          <w:i/>
          <w:sz w:val="20"/>
          <w:szCs w:val="20"/>
        </w:rPr>
      </w:pPr>
      <w:r w:rsidRPr="0041184E">
        <w:rPr>
          <w:i/>
          <w:sz w:val="20"/>
          <w:szCs w:val="20"/>
        </w:rPr>
        <w:t xml:space="preserve">Se propone que el proceso de estimación de demanda, tanto por cantidad como por áreas o temas de capacitación, se realice a nivel regional por unidades del Servicio Nacional de Capacitación y Empleo (SENCE) territoriales con atribuciones, competencias y recursos para definir estrategias y planes regionales que se enfoquen en fortalecer el territorio. En esta línea, se propone avanzar hacia una estructura descentralizada del SENCE. </w:t>
      </w:r>
    </w:p>
    <w:p w:rsidR="009C6680" w:rsidRPr="00861A80" w:rsidRDefault="009C6680" w:rsidP="009C6680">
      <w:pPr>
        <w:ind w:left="357"/>
        <w:rPr>
          <w:rFonts w:cs="Arial"/>
          <w:b/>
          <w:bCs/>
          <w:sz w:val="20"/>
          <w:szCs w:val="20"/>
          <w:lang w:val="es-ES_tradnl"/>
        </w:rPr>
      </w:pPr>
    </w:p>
    <w:p w:rsidR="009C6680" w:rsidRPr="00861A80" w:rsidRDefault="009C6680" w:rsidP="009C6680">
      <w:pPr>
        <w:ind w:left="357"/>
        <w:rPr>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Mejorar la capacidad de atención especializada en salud para territorios lejanos y/o aislados, realizando interconsultas a través de Internet y otras herramientas de comunicación a distancia.</w:t>
      </w:r>
    </w:p>
    <w:p w:rsidR="009C6680" w:rsidRPr="00861A80" w:rsidRDefault="009C6680" w:rsidP="009C6680">
      <w:pPr>
        <w:ind w:left="-426"/>
        <w:rPr>
          <w:i/>
          <w:sz w:val="20"/>
          <w:szCs w:val="20"/>
        </w:rPr>
      </w:pPr>
      <w:r w:rsidRPr="00861A80">
        <w:rPr>
          <w:i/>
          <w:sz w:val="20"/>
          <w:szCs w:val="20"/>
        </w:rPr>
        <w:t>Existe un enorme potencial de igualación en el acceso a servicios rompiendo las barreras geográficas. El uso de tecnologías de información y telecomunicaciones permitiría aumentar la capacidad resolutiva descentralizada y dar soporte a los profesionales de Atención Primaria de Salud ubicados en territorios alejados. Ya existen experiencias exitosas de telemedicina en algunas patologías vinculadas al Auge que cuentan con especial preocupación del sistema.</w:t>
      </w:r>
    </w:p>
    <w:p w:rsidR="009C6680" w:rsidRPr="00861A80" w:rsidRDefault="009C6680" w:rsidP="009C6680">
      <w:pPr>
        <w:pStyle w:val="Prrafodelista"/>
        <w:ind w:left="360" w:right="-93"/>
        <w:contextualSpacing w:val="0"/>
        <w:rPr>
          <w:rFonts w:ascii="Verdana" w:hAnsi="Verdana"/>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 xml:space="preserve">Crear agencias locales de educación de base provincial para la administración de la educación pública, que cuenten con un financiamiento basal complementario al sistema de subvención por asistencia. </w:t>
      </w:r>
    </w:p>
    <w:p w:rsidR="009C6680" w:rsidRPr="00861A80" w:rsidRDefault="009C6680" w:rsidP="009C6680">
      <w:pPr>
        <w:ind w:left="-426"/>
        <w:rPr>
          <w:i/>
          <w:sz w:val="20"/>
          <w:szCs w:val="20"/>
        </w:rPr>
      </w:pPr>
      <w:r w:rsidRPr="00861A80">
        <w:rPr>
          <w:i/>
          <w:sz w:val="20"/>
          <w:szCs w:val="20"/>
        </w:rPr>
        <w:t xml:space="preserve">Es necesario atacar seriamente los factores de desigualdad estructurales que influyen en las condiciones y calidad en la que se desarrolla el proceso educativo. Para ello se propone superar la estructura municipal, creando Agencias Locales de Educación Pública, de carácter descentralizado, pero que respondan a una línea común: un Servicio Nacional de Educación. Construir un nuevo sistema de educación pública supone un gran desafío económico e institucional. Un paso indispensable en esta línea es la creación de un financiamiento basal para la Educación Pública, complementario y distinto a la subvención, que permita mejorar las condiciones del sector e implementar la nueva institucionalidad propuesta. Este financiamiento debe hacerse cargo de las diferencias territoriales que existirán entre los territorios aún en esta nueva estructura, y debe ir acompañado de un plan de desarrollo de capacidades en las nuevas agencias locales. </w:t>
      </w:r>
    </w:p>
    <w:p w:rsidR="009C6680" w:rsidRPr="00861A80" w:rsidRDefault="009C6680" w:rsidP="009C6680">
      <w:pPr>
        <w:pStyle w:val="Prrafodelista"/>
        <w:ind w:right="-93"/>
        <w:contextualSpacing w:val="0"/>
        <w:rPr>
          <w:rFonts w:ascii="Verdana" w:hAnsi="Verdana"/>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 xml:space="preserve">Establecer una relación más estrecha entre las universidades y los procesos de desarrollo regional, involucrando a las universidades en los procesos de planificación del gobierno regional. </w:t>
      </w:r>
    </w:p>
    <w:p w:rsidR="009C6680" w:rsidRPr="00861A80" w:rsidRDefault="009C6680" w:rsidP="009C6680">
      <w:pPr>
        <w:ind w:left="-426"/>
        <w:rPr>
          <w:i/>
          <w:sz w:val="20"/>
          <w:szCs w:val="20"/>
        </w:rPr>
      </w:pPr>
      <w:r w:rsidRPr="00861A80">
        <w:rPr>
          <w:i/>
          <w:sz w:val="20"/>
          <w:szCs w:val="20"/>
        </w:rPr>
        <w:t xml:space="preserve">Diseñar un nuevo tipo de relación entre las universidades públicas y los gobiernos regionales, asegurando que las competencias, capital humano e investigación que desarrollan dichos planteles, se encuentre vinculado y sirva para los propósitos que cada gobierno regional ha definido para el futuro de sus regiones. El objetivo principal que persigue una medida de este </w:t>
      </w:r>
      <w:r w:rsidRPr="00861A80">
        <w:rPr>
          <w:i/>
          <w:sz w:val="20"/>
          <w:szCs w:val="20"/>
        </w:rPr>
        <w:lastRenderedPageBreak/>
        <w:t>tipo es asegurar que los bienes públicos que generan las universidades públicas colaboren al desarrollo regional. Como medida concreta se sugiere involucrar a las universidades, en la persona de sus rectores, a los gobiernos regionales, invitando a éstos a hacerse cargo de los desafíos que proponen las agendas regionales de desarrollo.</w:t>
      </w:r>
    </w:p>
    <w:p w:rsidR="009C6680" w:rsidRPr="00861A80" w:rsidRDefault="009C6680" w:rsidP="009C6680">
      <w:pPr>
        <w:ind w:left="-426"/>
        <w:rPr>
          <w:i/>
          <w:sz w:val="20"/>
          <w:szCs w:val="20"/>
        </w:rPr>
      </w:pPr>
    </w:p>
    <w:p w:rsidR="009C6680" w:rsidRPr="0041184E" w:rsidRDefault="009C6680" w:rsidP="009C6680">
      <w:pPr>
        <w:numPr>
          <w:ilvl w:val="0"/>
          <w:numId w:val="26"/>
        </w:numPr>
        <w:ind w:left="0" w:hanging="426"/>
        <w:rPr>
          <w:b/>
          <w:sz w:val="20"/>
          <w:szCs w:val="20"/>
        </w:rPr>
      </w:pPr>
      <w:r w:rsidRPr="0041184E">
        <w:rPr>
          <w:b/>
          <w:sz w:val="20"/>
          <w:szCs w:val="20"/>
        </w:rPr>
        <w:t xml:space="preserve">Implementar un programa de superación de la pobreza que garantice un ingreso básico a todas las personas en situación de pobreza extrema, pero donde el monto y los criterios de asignación sean territorialmente diferenciados, que además se complemente con el desarrollo de iniciativas específicas en cada región.  </w:t>
      </w:r>
    </w:p>
    <w:p w:rsidR="009C6680" w:rsidRPr="0041184E" w:rsidRDefault="009C6680" w:rsidP="009C6680">
      <w:pPr>
        <w:pStyle w:val="Prrafodelista"/>
        <w:ind w:left="-426" w:right="-93"/>
        <w:contextualSpacing w:val="0"/>
        <w:jc w:val="both"/>
        <w:rPr>
          <w:rFonts w:ascii="Verdana" w:eastAsia="Times New Roman" w:hAnsi="Verdana"/>
          <w:i/>
          <w:sz w:val="20"/>
          <w:szCs w:val="20"/>
          <w:lang w:val="es-ES" w:eastAsia="es-ES"/>
        </w:rPr>
      </w:pPr>
      <w:r w:rsidRPr="0041184E">
        <w:rPr>
          <w:rFonts w:ascii="Verdana" w:eastAsia="Times New Roman" w:hAnsi="Verdana"/>
          <w:i/>
          <w:sz w:val="20"/>
          <w:szCs w:val="20"/>
          <w:lang w:val="es-ES" w:eastAsia="es-ES"/>
        </w:rPr>
        <w:t>Los programas nacionales de transferencias de recursos a la población en situación de pobreza que conocemos hasta la fecha se caracterizan por un diseño parejo para todo el país  y una excesiva centralización institucional. Ello limita su capacidad de responder adecuadamente a situaciones de pobreza que son territorialmente muy heterogéneas. Se propone avanzar hacia garantizar  un ingreso para todas las personas en situación de pobreza extrema, pero donde el nivel de dicho ingreso se defina en función de las brechas de pobreza regionales y no nacionales, donde las poblaciones beneficiarias sean seleccionadas en función de puntos de corte regionales y donde los mecanismos de monitoreo de la implementación del programa y de coordinación con los sectores implicados sean diseñados e instrumentados por las regiones.</w:t>
      </w:r>
    </w:p>
    <w:p w:rsidR="009C6680" w:rsidRPr="00861A80" w:rsidRDefault="009C6680" w:rsidP="009C6680">
      <w:pPr>
        <w:pStyle w:val="Prrafodelista"/>
        <w:ind w:left="360" w:right="-93"/>
        <w:contextualSpacing w:val="0"/>
        <w:rPr>
          <w:rFonts w:ascii="Verdana" w:hAnsi="Verdana"/>
          <w:i/>
          <w:sz w:val="20"/>
          <w:szCs w:val="20"/>
        </w:rPr>
      </w:pPr>
    </w:p>
    <w:p w:rsidR="00A318D2" w:rsidRPr="009C6680" w:rsidRDefault="00A318D2" w:rsidP="00A318D2">
      <w:pPr>
        <w:pStyle w:val="Prrafodelista"/>
        <w:ind w:left="-426" w:right="-93"/>
        <w:contextualSpacing w:val="0"/>
        <w:rPr>
          <w:rFonts w:ascii="Verdana" w:hAnsi="Verdana"/>
          <w:i/>
          <w:sz w:val="20"/>
          <w:szCs w:val="20"/>
        </w:rPr>
      </w:pPr>
    </w:p>
    <w:p w:rsidR="00A318D2" w:rsidRPr="00A318D2" w:rsidRDefault="00A318D2" w:rsidP="00A318D2">
      <w:pPr>
        <w:ind w:left="-284" w:right="-567" w:hanging="142"/>
        <w:rPr>
          <w:sz w:val="20"/>
          <w:szCs w:val="20"/>
          <w:lang w:val="es-CL"/>
        </w:rPr>
      </w:pPr>
    </w:p>
    <w:sectPr w:rsidR="00A318D2" w:rsidRPr="00A318D2" w:rsidSect="00D85A46">
      <w:headerReference w:type="default" r:id="rId11"/>
      <w:footerReference w:type="default" r:id="rId12"/>
      <w:pgSz w:w="12240" w:h="15840" w:code="1"/>
      <w:pgMar w:top="1418" w:right="14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0C" w:rsidRDefault="00FA620C">
      <w:r>
        <w:separator/>
      </w:r>
    </w:p>
  </w:endnote>
  <w:endnote w:type="continuationSeparator" w:id="0">
    <w:p w:rsidR="00FA620C" w:rsidRDefault="00FA62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Ind w:w="-601" w:type="dxa"/>
      <w:tblLayout w:type="fixed"/>
      <w:tblLook w:val="0000"/>
    </w:tblPr>
    <w:tblGrid>
      <w:gridCol w:w="586"/>
      <w:gridCol w:w="9762"/>
    </w:tblGrid>
    <w:tr w:rsidR="006D15DE" w:rsidRPr="00EC54CB" w:rsidTr="00903CD8">
      <w:tc>
        <w:tcPr>
          <w:tcW w:w="586" w:type="dxa"/>
        </w:tcPr>
        <w:p w:rsidR="006D15DE" w:rsidRPr="00EC54CB" w:rsidRDefault="000608AC" w:rsidP="00903CD8">
          <w:pPr>
            <w:widowControl w:val="0"/>
            <w:autoSpaceDE w:val="0"/>
            <w:autoSpaceDN w:val="0"/>
            <w:adjustRightInd w:val="0"/>
            <w:rPr>
              <w:rFonts w:ascii="Arial" w:hAnsi="Arial" w:cs="Arial"/>
              <w:color w:val="1A1A1A"/>
              <w:sz w:val="26"/>
              <w:szCs w:val="26"/>
              <w:lang w:val="es-ES_tradnl" w:eastAsia="en-US"/>
            </w:rPr>
          </w:pPr>
          <w:r>
            <w:rPr>
              <w:rFonts w:ascii="Arial" w:hAnsi="Arial" w:cs="Arial"/>
              <w:noProof/>
              <w:color w:val="1A1A1A"/>
              <w:sz w:val="26"/>
              <w:szCs w:val="26"/>
            </w:rPr>
            <w:drawing>
              <wp:inline distT="0" distB="0" distL="0" distR="0">
                <wp:extent cx="228600" cy="1524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8600" cy="152400"/>
                        </a:xfrm>
                        <a:prstGeom prst="rect">
                          <a:avLst/>
                        </a:prstGeom>
                        <a:noFill/>
                        <a:ln w="9525">
                          <a:noFill/>
                          <a:miter lim="800000"/>
                          <a:headEnd/>
                          <a:tailEnd/>
                        </a:ln>
                      </pic:spPr>
                    </pic:pic>
                  </a:graphicData>
                </a:graphic>
              </wp:inline>
            </w:drawing>
          </w:r>
        </w:p>
      </w:tc>
      <w:tc>
        <w:tcPr>
          <w:tcW w:w="9762" w:type="dxa"/>
          <w:vAlign w:val="bottom"/>
        </w:tcPr>
        <w:p w:rsidR="006D15DE" w:rsidRPr="00E068B3" w:rsidRDefault="006D15DE" w:rsidP="00903CD8">
          <w:pPr>
            <w:widowControl w:val="0"/>
            <w:autoSpaceDE w:val="0"/>
            <w:autoSpaceDN w:val="0"/>
            <w:adjustRightInd w:val="0"/>
            <w:rPr>
              <w:rFonts w:cs="Arial"/>
              <w:color w:val="626262"/>
              <w:sz w:val="16"/>
              <w:szCs w:val="14"/>
              <w:lang w:val="es-ES_tradnl" w:eastAsia="en-US"/>
            </w:rPr>
          </w:pPr>
          <w:r w:rsidRPr="00EC54CB">
            <w:rPr>
              <w:rFonts w:cs="Arial"/>
              <w:b/>
              <w:bCs/>
              <w:color w:val="626262"/>
              <w:sz w:val="16"/>
              <w:szCs w:val="14"/>
              <w:lang w:val="es-ES_tradnl" w:eastAsia="en-US"/>
            </w:rPr>
            <w:t>CHILE:</w:t>
          </w:r>
          <w:r w:rsidRPr="00EC54CB">
            <w:rPr>
              <w:rFonts w:cs="Arial"/>
              <w:color w:val="626262"/>
              <w:sz w:val="16"/>
              <w:szCs w:val="14"/>
              <w:lang w:val="es-ES_tradnl" w:eastAsia="en-US"/>
            </w:rPr>
            <w:t xml:space="preserve"> Huelén 10, Piso 6, Providencia – Santiago | Tel.+(56 2) 22364557 |</w:t>
          </w:r>
          <w:r w:rsidRPr="00EC54CB">
            <w:rPr>
              <w:color w:val="000000"/>
              <w:sz w:val="16"/>
              <w:lang w:val="es-ES_tradnl"/>
            </w:rPr>
            <w:t xml:space="preserve"> </w:t>
          </w:r>
          <w:r w:rsidRPr="00EC54CB">
            <w:rPr>
              <w:rFonts w:cs="Arial"/>
              <w:color w:val="626262"/>
              <w:sz w:val="16"/>
              <w:szCs w:val="14"/>
              <w:lang w:val="es-ES_tradnl" w:eastAsia="en-US"/>
            </w:rPr>
            <w:t>Fax +(56 2) 22364558</w:t>
          </w:r>
        </w:p>
      </w:tc>
    </w:tr>
    <w:tr w:rsidR="006D15DE" w:rsidRPr="00EC54CB" w:rsidTr="00903CD8">
      <w:tc>
        <w:tcPr>
          <w:tcW w:w="586" w:type="dxa"/>
        </w:tcPr>
        <w:p w:rsidR="006D15DE" w:rsidRPr="00EC54CB" w:rsidRDefault="000608AC" w:rsidP="00903CD8">
          <w:pPr>
            <w:widowControl w:val="0"/>
            <w:autoSpaceDE w:val="0"/>
            <w:autoSpaceDN w:val="0"/>
            <w:adjustRightInd w:val="0"/>
            <w:rPr>
              <w:rFonts w:ascii="Arial" w:hAnsi="Arial" w:cs="Arial"/>
              <w:color w:val="1A1A1A"/>
              <w:sz w:val="26"/>
              <w:szCs w:val="26"/>
              <w:lang w:val="es-ES_tradnl" w:eastAsia="en-US"/>
            </w:rPr>
          </w:pPr>
          <w:r>
            <w:rPr>
              <w:rFonts w:ascii="Arial" w:hAnsi="Arial" w:cs="Arial"/>
              <w:noProof/>
              <w:color w:val="1A1A1A"/>
              <w:sz w:val="26"/>
              <w:szCs w:val="26"/>
            </w:rPr>
            <w:drawing>
              <wp:inline distT="0" distB="0" distL="0" distR="0">
                <wp:extent cx="228600" cy="1524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228600" cy="152400"/>
                        </a:xfrm>
                        <a:prstGeom prst="rect">
                          <a:avLst/>
                        </a:prstGeom>
                        <a:noFill/>
                        <a:ln w="9525">
                          <a:noFill/>
                          <a:miter lim="800000"/>
                          <a:headEnd/>
                          <a:tailEnd/>
                        </a:ln>
                      </pic:spPr>
                    </pic:pic>
                  </a:graphicData>
                </a:graphic>
              </wp:inline>
            </w:drawing>
          </w:r>
        </w:p>
      </w:tc>
      <w:tc>
        <w:tcPr>
          <w:tcW w:w="9762" w:type="dxa"/>
          <w:vAlign w:val="bottom"/>
        </w:tcPr>
        <w:p w:rsidR="006D15DE" w:rsidRPr="00EC54CB" w:rsidRDefault="006D15DE" w:rsidP="00903CD8">
          <w:pPr>
            <w:widowControl w:val="0"/>
            <w:autoSpaceDE w:val="0"/>
            <w:autoSpaceDN w:val="0"/>
            <w:adjustRightInd w:val="0"/>
            <w:rPr>
              <w:rFonts w:cs="Arial"/>
              <w:b/>
              <w:bCs/>
              <w:color w:val="626262"/>
              <w:sz w:val="16"/>
              <w:szCs w:val="14"/>
              <w:lang w:val="es-ES_tradnl" w:eastAsia="en-US"/>
            </w:rPr>
          </w:pPr>
          <w:r w:rsidRPr="00EC54CB">
            <w:rPr>
              <w:rFonts w:cs="Arial"/>
              <w:b/>
              <w:bCs/>
              <w:color w:val="626262"/>
              <w:sz w:val="16"/>
              <w:szCs w:val="14"/>
              <w:lang w:val="es-ES_tradnl" w:eastAsia="en-US"/>
            </w:rPr>
            <w:t xml:space="preserve">ECUADOR: </w:t>
          </w:r>
          <w:r w:rsidRPr="00EC54CB">
            <w:rPr>
              <w:rFonts w:cs="Arial"/>
              <w:bCs/>
              <w:color w:val="626262"/>
              <w:sz w:val="16"/>
              <w:szCs w:val="14"/>
              <w:lang w:val="es-ES_tradnl" w:eastAsia="en-US"/>
            </w:rPr>
            <w:t>Psje. Guayas E3-130 (esq. Amazonas) Edificio Pastor. 1er Piso, Quito | Tel.+(593 2) 2273870 / 2273991</w:t>
          </w:r>
        </w:p>
      </w:tc>
    </w:tr>
  </w:tbl>
  <w:p w:rsidR="006D15DE" w:rsidRDefault="006D15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0C" w:rsidRDefault="00FA620C">
      <w:r>
        <w:separator/>
      </w:r>
    </w:p>
  </w:footnote>
  <w:footnote w:type="continuationSeparator" w:id="0">
    <w:p w:rsidR="00FA620C" w:rsidRDefault="00FA6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5DE" w:rsidRDefault="000608AC" w:rsidP="00B37717">
    <w:pPr>
      <w:pStyle w:val="Encabezado"/>
      <w:ind w:left="-426" w:right="-850"/>
      <w:rPr>
        <w:lang w:val="es-CL"/>
      </w:rPr>
    </w:pPr>
    <w:r>
      <w:rPr>
        <w:noProof/>
      </w:rPr>
      <w:drawing>
        <wp:inline distT="0" distB="0" distL="0" distR="0">
          <wp:extent cx="904875" cy="4095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04875" cy="409575"/>
                  </a:xfrm>
                  <a:prstGeom prst="rect">
                    <a:avLst/>
                  </a:prstGeom>
                  <a:noFill/>
                  <a:ln w="9525">
                    <a:noFill/>
                    <a:miter lim="800000"/>
                    <a:headEnd/>
                    <a:tailEnd/>
                  </a:ln>
                </pic:spPr>
              </pic:pic>
            </a:graphicData>
          </a:graphic>
        </wp:inline>
      </w:drawing>
    </w:r>
    <w:r w:rsidR="006D15DE">
      <w:rPr>
        <w:lang w:val="es-CL"/>
      </w:rPr>
      <w:tab/>
      <w:t xml:space="preserve">                                                                   </w:t>
    </w:r>
    <w:r>
      <w:rPr>
        <w:noProof/>
      </w:rPr>
      <w:drawing>
        <wp:inline distT="0" distB="0" distL="0" distR="0">
          <wp:extent cx="1581150" cy="3714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1581150" cy="371475"/>
                  </a:xfrm>
                  <a:prstGeom prst="rect">
                    <a:avLst/>
                  </a:prstGeom>
                  <a:noFill/>
                  <a:ln w="9525">
                    <a:noFill/>
                    <a:miter lim="800000"/>
                    <a:headEnd/>
                    <a:tailEnd/>
                  </a:ln>
                </pic:spPr>
              </pic:pic>
            </a:graphicData>
          </a:graphic>
        </wp:inline>
      </w:drawing>
    </w:r>
  </w:p>
  <w:p w:rsidR="006D15DE" w:rsidRPr="00B37717" w:rsidRDefault="006D15DE" w:rsidP="00B37717">
    <w:pPr>
      <w:pStyle w:val="Encabezado"/>
      <w:ind w:left="-426" w:right="-850"/>
      <w:rPr>
        <w:lang w:val="es-C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716D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0225C"/>
    <w:multiLevelType w:val="hybridMultilevel"/>
    <w:tmpl w:val="13B45F18"/>
    <w:lvl w:ilvl="0" w:tplc="276E1C2C">
      <w:start w:val="30"/>
      <w:numFmt w:val="bullet"/>
      <w:lvlText w:val="-"/>
      <w:lvlJc w:val="left"/>
      <w:pPr>
        <w:ind w:left="720" w:hanging="360"/>
      </w:pPr>
      <w:rPr>
        <w:rFonts w:ascii="Verdana" w:eastAsia="Calibri"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400602"/>
    <w:multiLevelType w:val="hybridMultilevel"/>
    <w:tmpl w:val="32809EA6"/>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
    <w:nsid w:val="09F408C1"/>
    <w:multiLevelType w:val="hybridMultilevel"/>
    <w:tmpl w:val="0B7A8D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AC84D7D"/>
    <w:multiLevelType w:val="hybridMultilevel"/>
    <w:tmpl w:val="0094AC3C"/>
    <w:lvl w:ilvl="0" w:tplc="EEDE604E">
      <w:numFmt w:val="bullet"/>
      <w:lvlText w:val=""/>
      <w:lvlJc w:val="left"/>
      <w:pPr>
        <w:ind w:left="825" w:hanging="465"/>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47CF0"/>
    <w:multiLevelType w:val="hybridMultilevel"/>
    <w:tmpl w:val="FFC01834"/>
    <w:lvl w:ilvl="0" w:tplc="E0DE46C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
    <w:nsid w:val="18DA0E5F"/>
    <w:multiLevelType w:val="hybridMultilevel"/>
    <w:tmpl w:val="7542E47C"/>
    <w:lvl w:ilvl="0" w:tplc="28DE37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3A0B89"/>
    <w:multiLevelType w:val="hybridMultilevel"/>
    <w:tmpl w:val="AF3C2FF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072915"/>
    <w:multiLevelType w:val="hybridMultilevel"/>
    <w:tmpl w:val="9F1A1A94"/>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5F3D73"/>
    <w:multiLevelType w:val="hybridMultilevel"/>
    <w:tmpl w:val="AF3C2FF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5F3046"/>
    <w:multiLevelType w:val="hybridMultilevel"/>
    <w:tmpl w:val="061EF816"/>
    <w:lvl w:ilvl="0" w:tplc="E320FC76">
      <w:start w:val="2"/>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26F4517"/>
    <w:multiLevelType w:val="hybridMultilevel"/>
    <w:tmpl w:val="9570700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24D95276"/>
    <w:multiLevelType w:val="hybridMultilevel"/>
    <w:tmpl w:val="BD2CE7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67E70E4"/>
    <w:multiLevelType w:val="hybridMultilevel"/>
    <w:tmpl w:val="3878DB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35083097"/>
    <w:multiLevelType w:val="hybridMultilevel"/>
    <w:tmpl w:val="8A021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6147CD"/>
    <w:multiLevelType w:val="hybridMultilevel"/>
    <w:tmpl w:val="CD62D2A2"/>
    <w:lvl w:ilvl="0" w:tplc="1C88119E">
      <w:start w:val="1"/>
      <w:numFmt w:val="decimal"/>
      <w:lvlText w:val="%1."/>
      <w:lvlJc w:val="left"/>
      <w:pPr>
        <w:ind w:left="4188" w:hanging="360"/>
      </w:pPr>
      <w:rPr>
        <w:color w:val="auto"/>
      </w:rPr>
    </w:lvl>
    <w:lvl w:ilvl="1" w:tplc="340A0019">
      <w:start w:val="1"/>
      <w:numFmt w:val="decimal"/>
      <w:lvlText w:val="%2."/>
      <w:lvlJc w:val="left"/>
      <w:pPr>
        <w:tabs>
          <w:tab w:val="num" w:pos="4908"/>
        </w:tabs>
        <w:ind w:left="4908" w:hanging="360"/>
      </w:pPr>
    </w:lvl>
    <w:lvl w:ilvl="2" w:tplc="340A001B">
      <w:start w:val="1"/>
      <w:numFmt w:val="decimal"/>
      <w:lvlText w:val="%3."/>
      <w:lvlJc w:val="left"/>
      <w:pPr>
        <w:tabs>
          <w:tab w:val="num" w:pos="5628"/>
        </w:tabs>
        <w:ind w:left="5628" w:hanging="360"/>
      </w:pPr>
    </w:lvl>
    <w:lvl w:ilvl="3" w:tplc="340A000F">
      <w:start w:val="1"/>
      <w:numFmt w:val="decimal"/>
      <w:lvlText w:val="%4."/>
      <w:lvlJc w:val="left"/>
      <w:pPr>
        <w:tabs>
          <w:tab w:val="num" w:pos="6348"/>
        </w:tabs>
        <w:ind w:left="6348" w:hanging="360"/>
      </w:pPr>
    </w:lvl>
    <w:lvl w:ilvl="4" w:tplc="340A0019">
      <w:start w:val="1"/>
      <w:numFmt w:val="decimal"/>
      <w:lvlText w:val="%5."/>
      <w:lvlJc w:val="left"/>
      <w:pPr>
        <w:tabs>
          <w:tab w:val="num" w:pos="7068"/>
        </w:tabs>
        <w:ind w:left="7068" w:hanging="360"/>
      </w:pPr>
    </w:lvl>
    <w:lvl w:ilvl="5" w:tplc="340A001B">
      <w:start w:val="1"/>
      <w:numFmt w:val="decimal"/>
      <w:lvlText w:val="%6."/>
      <w:lvlJc w:val="left"/>
      <w:pPr>
        <w:tabs>
          <w:tab w:val="num" w:pos="7788"/>
        </w:tabs>
        <w:ind w:left="7788" w:hanging="360"/>
      </w:pPr>
    </w:lvl>
    <w:lvl w:ilvl="6" w:tplc="340A000F">
      <w:start w:val="1"/>
      <w:numFmt w:val="decimal"/>
      <w:lvlText w:val="%7."/>
      <w:lvlJc w:val="left"/>
      <w:pPr>
        <w:tabs>
          <w:tab w:val="num" w:pos="8508"/>
        </w:tabs>
        <w:ind w:left="8508" w:hanging="360"/>
      </w:pPr>
    </w:lvl>
    <w:lvl w:ilvl="7" w:tplc="340A0019">
      <w:start w:val="1"/>
      <w:numFmt w:val="decimal"/>
      <w:lvlText w:val="%8."/>
      <w:lvlJc w:val="left"/>
      <w:pPr>
        <w:tabs>
          <w:tab w:val="num" w:pos="9228"/>
        </w:tabs>
        <w:ind w:left="9228" w:hanging="360"/>
      </w:pPr>
    </w:lvl>
    <w:lvl w:ilvl="8" w:tplc="340A001B">
      <w:start w:val="1"/>
      <w:numFmt w:val="decimal"/>
      <w:lvlText w:val="%9."/>
      <w:lvlJc w:val="left"/>
      <w:pPr>
        <w:tabs>
          <w:tab w:val="num" w:pos="9948"/>
        </w:tabs>
        <w:ind w:left="9948" w:hanging="360"/>
      </w:pPr>
    </w:lvl>
  </w:abstractNum>
  <w:abstractNum w:abstractNumId="16">
    <w:nsid w:val="4909141F"/>
    <w:multiLevelType w:val="hybridMultilevel"/>
    <w:tmpl w:val="3C109054"/>
    <w:lvl w:ilvl="0" w:tplc="010C68A4">
      <w:start w:val="1"/>
      <w:numFmt w:val="bullet"/>
      <w:lvlText w:val=""/>
      <w:lvlJc w:val="left"/>
      <w:pPr>
        <w:tabs>
          <w:tab w:val="num" w:pos="1080"/>
        </w:tabs>
        <w:ind w:left="1080" w:hanging="360"/>
      </w:pPr>
      <w:rPr>
        <w:rFonts w:ascii="Wingdings" w:hAnsi="Wingdings" w:hint="default"/>
        <w:color w:val="00009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F605AE3"/>
    <w:multiLevelType w:val="hybridMultilevel"/>
    <w:tmpl w:val="9BE2D7AC"/>
    <w:lvl w:ilvl="0" w:tplc="9468E4D0">
      <w:numFmt w:val="bullet"/>
      <w:lvlText w:val="-"/>
      <w:lvlJc w:val="left"/>
      <w:pPr>
        <w:ind w:left="405" w:hanging="360"/>
      </w:pPr>
      <w:rPr>
        <w:rFonts w:ascii="Calibri" w:eastAsia="Calibri" w:hAnsi="Calibri" w:cs="Times New Roman"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8">
    <w:nsid w:val="5312180C"/>
    <w:multiLevelType w:val="hybridMultilevel"/>
    <w:tmpl w:val="AF3C2FF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AF004B5"/>
    <w:multiLevelType w:val="hybridMultilevel"/>
    <w:tmpl w:val="186E99F6"/>
    <w:lvl w:ilvl="0" w:tplc="93B04218">
      <w:start w:val="1"/>
      <w:numFmt w:val="decimal"/>
      <w:lvlText w:val="%1."/>
      <w:lvlJc w:val="left"/>
      <w:pPr>
        <w:ind w:left="-66" w:hanging="360"/>
      </w:pPr>
      <w:rPr>
        <w:rFonts w:hint="default"/>
      </w:rPr>
    </w:lvl>
    <w:lvl w:ilvl="1" w:tplc="340A0019" w:tentative="1">
      <w:start w:val="1"/>
      <w:numFmt w:val="lowerLetter"/>
      <w:lvlText w:val="%2."/>
      <w:lvlJc w:val="left"/>
      <w:pPr>
        <w:ind w:left="654" w:hanging="360"/>
      </w:pPr>
    </w:lvl>
    <w:lvl w:ilvl="2" w:tplc="340A001B" w:tentative="1">
      <w:start w:val="1"/>
      <w:numFmt w:val="lowerRoman"/>
      <w:lvlText w:val="%3."/>
      <w:lvlJc w:val="right"/>
      <w:pPr>
        <w:ind w:left="1374" w:hanging="180"/>
      </w:pPr>
    </w:lvl>
    <w:lvl w:ilvl="3" w:tplc="340A000F" w:tentative="1">
      <w:start w:val="1"/>
      <w:numFmt w:val="decimal"/>
      <w:lvlText w:val="%4."/>
      <w:lvlJc w:val="left"/>
      <w:pPr>
        <w:ind w:left="2094" w:hanging="360"/>
      </w:pPr>
    </w:lvl>
    <w:lvl w:ilvl="4" w:tplc="340A0019" w:tentative="1">
      <w:start w:val="1"/>
      <w:numFmt w:val="lowerLetter"/>
      <w:lvlText w:val="%5."/>
      <w:lvlJc w:val="left"/>
      <w:pPr>
        <w:ind w:left="2814" w:hanging="360"/>
      </w:pPr>
    </w:lvl>
    <w:lvl w:ilvl="5" w:tplc="340A001B" w:tentative="1">
      <w:start w:val="1"/>
      <w:numFmt w:val="lowerRoman"/>
      <w:lvlText w:val="%6."/>
      <w:lvlJc w:val="right"/>
      <w:pPr>
        <w:ind w:left="3534" w:hanging="180"/>
      </w:pPr>
    </w:lvl>
    <w:lvl w:ilvl="6" w:tplc="340A000F" w:tentative="1">
      <w:start w:val="1"/>
      <w:numFmt w:val="decimal"/>
      <w:lvlText w:val="%7."/>
      <w:lvlJc w:val="left"/>
      <w:pPr>
        <w:ind w:left="4254" w:hanging="360"/>
      </w:pPr>
    </w:lvl>
    <w:lvl w:ilvl="7" w:tplc="340A0019" w:tentative="1">
      <w:start w:val="1"/>
      <w:numFmt w:val="lowerLetter"/>
      <w:lvlText w:val="%8."/>
      <w:lvlJc w:val="left"/>
      <w:pPr>
        <w:ind w:left="4974" w:hanging="360"/>
      </w:pPr>
    </w:lvl>
    <w:lvl w:ilvl="8" w:tplc="340A001B" w:tentative="1">
      <w:start w:val="1"/>
      <w:numFmt w:val="lowerRoman"/>
      <w:lvlText w:val="%9."/>
      <w:lvlJc w:val="right"/>
      <w:pPr>
        <w:ind w:left="5694" w:hanging="180"/>
      </w:pPr>
    </w:lvl>
  </w:abstractNum>
  <w:abstractNum w:abstractNumId="20">
    <w:nsid w:val="5E4E1004"/>
    <w:multiLevelType w:val="hybridMultilevel"/>
    <w:tmpl w:val="1F3EF9F6"/>
    <w:lvl w:ilvl="0" w:tplc="F124B52C">
      <w:start w:val="27"/>
      <w:numFmt w:val="bullet"/>
      <w:lvlText w:val=""/>
      <w:lvlJc w:val="left"/>
      <w:pPr>
        <w:tabs>
          <w:tab w:val="num" w:pos="1080"/>
        </w:tabs>
        <w:ind w:left="1080" w:hanging="360"/>
      </w:pPr>
      <w:rPr>
        <w:rFonts w:ascii="Wingdings" w:hAnsi="Wingdings" w:hint="default"/>
        <w:color w:val="FF99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772DF9"/>
    <w:multiLevelType w:val="hybridMultilevel"/>
    <w:tmpl w:val="170A27AE"/>
    <w:lvl w:ilvl="0" w:tplc="1EF8742C">
      <w:start w:val="2"/>
      <w:numFmt w:val="bullet"/>
      <w:lvlText w:val="-"/>
      <w:lvlJc w:val="left"/>
      <w:pPr>
        <w:ind w:left="-66" w:hanging="360"/>
      </w:pPr>
      <w:rPr>
        <w:rFonts w:ascii="Verdana" w:eastAsia="Times New Roman" w:hAnsi="Verdana" w:cs="Times New Roman" w:hint="default"/>
      </w:rPr>
    </w:lvl>
    <w:lvl w:ilvl="1" w:tplc="340A0003" w:tentative="1">
      <w:start w:val="1"/>
      <w:numFmt w:val="bullet"/>
      <w:lvlText w:val="o"/>
      <w:lvlJc w:val="left"/>
      <w:pPr>
        <w:ind w:left="654" w:hanging="360"/>
      </w:pPr>
      <w:rPr>
        <w:rFonts w:ascii="Courier New" w:hAnsi="Courier New" w:cs="Courier New" w:hint="default"/>
      </w:rPr>
    </w:lvl>
    <w:lvl w:ilvl="2" w:tplc="340A0005" w:tentative="1">
      <w:start w:val="1"/>
      <w:numFmt w:val="bullet"/>
      <w:lvlText w:val=""/>
      <w:lvlJc w:val="left"/>
      <w:pPr>
        <w:ind w:left="1374" w:hanging="360"/>
      </w:pPr>
      <w:rPr>
        <w:rFonts w:ascii="Wingdings" w:hAnsi="Wingdings" w:hint="default"/>
      </w:rPr>
    </w:lvl>
    <w:lvl w:ilvl="3" w:tplc="340A0001" w:tentative="1">
      <w:start w:val="1"/>
      <w:numFmt w:val="bullet"/>
      <w:lvlText w:val=""/>
      <w:lvlJc w:val="left"/>
      <w:pPr>
        <w:ind w:left="2094" w:hanging="360"/>
      </w:pPr>
      <w:rPr>
        <w:rFonts w:ascii="Symbol" w:hAnsi="Symbol" w:hint="default"/>
      </w:rPr>
    </w:lvl>
    <w:lvl w:ilvl="4" w:tplc="340A0003" w:tentative="1">
      <w:start w:val="1"/>
      <w:numFmt w:val="bullet"/>
      <w:lvlText w:val="o"/>
      <w:lvlJc w:val="left"/>
      <w:pPr>
        <w:ind w:left="2814" w:hanging="360"/>
      </w:pPr>
      <w:rPr>
        <w:rFonts w:ascii="Courier New" w:hAnsi="Courier New" w:cs="Courier New" w:hint="default"/>
      </w:rPr>
    </w:lvl>
    <w:lvl w:ilvl="5" w:tplc="340A0005" w:tentative="1">
      <w:start w:val="1"/>
      <w:numFmt w:val="bullet"/>
      <w:lvlText w:val=""/>
      <w:lvlJc w:val="left"/>
      <w:pPr>
        <w:ind w:left="3534" w:hanging="360"/>
      </w:pPr>
      <w:rPr>
        <w:rFonts w:ascii="Wingdings" w:hAnsi="Wingdings" w:hint="default"/>
      </w:rPr>
    </w:lvl>
    <w:lvl w:ilvl="6" w:tplc="340A0001" w:tentative="1">
      <w:start w:val="1"/>
      <w:numFmt w:val="bullet"/>
      <w:lvlText w:val=""/>
      <w:lvlJc w:val="left"/>
      <w:pPr>
        <w:ind w:left="4254" w:hanging="360"/>
      </w:pPr>
      <w:rPr>
        <w:rFonts w:ascii="Symbol" w:hAnsi="Symbol" w:hint="default"/>
      </w:rPr>
    </w:lvl>
    <w:lvl w:ilvl="7" w:tplc="340A0003" w:tentative="1">
      <w:start w:val="1"/>
      <w:numFmt w:val="bullet"/>
      <w:lvlText w:val="o"/>
      <w:lvlJc w:val="left"/>
      <w:pPr>
        <w:ind w:left="4974" w:hanging="360"/>
      </w:pPr>
      <w:rPr>
        <w:rFonts w:ascii="Courier New" w:hAnsi="Courier New" w:cs="Courier New" w:hint="default"/>
      </w:rPr>
    </w:lvl>
    <w:lvl w:ilvl="8" w:tplc="340A0005" w:tentative="1">
      <w:start w:val="1"/>
      <w:numFmt w:val="bullet"/>
      <w:lvlText w:val=""/>
      <w:lvlJc w:val="left"/>
      <w:pPr>
        <w:ind w:left="5694" w:hanging="360"/>
      </w:pPr>
      <w:rPr>
        <w:rFonts w:ascii="Wingdings" w:hAnsi="Wingdings" w:hint="default"/>
      </w:rPr>
    </w:lvl>
  </w:abstractNum>
  <w:abstractNum w:abstractNumId="22">
    <w:nsid w:val="641419BB"/>
    <w:multiLevelType w:val="hybridMultilevel"/>
    <w:tmpl w:val="BC96765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nsid w:val="69913A5E"/>
    <w:multiLevelType w:val="hybridMultilevel"/>
    <w:tmpl w:val="069A994A"/>
    <w:lvl w:ilvl="0" w:tplc="24868F2E">
      <w:start w:val="1"/>
      <w:numFmt w:val="lowerLetter"/>
      <w:lvlText w:val="%1)"/>
      <w:lvlJc w:val="left"/>
      <w:pPr>
        <w:tabs>
          <w:tab w:val="num" w:pos="720"/>
        </w:tabs>
        <w:ind w:left="720" w:hanging="360"/>
      </w:pPr>
    </w:lvl>
    <w:lvl w:ilvl="1" w:tplc="5F4448E4">
      <w:start w:val="1"/>
      <w:numFmt w:val="lowerLetter"/>
      <w:lvlText w:val="%2)"/>
      <w:lvlJc w:val="left"/>
      <w:pPr>
        <w:tabs>
          <w:tab w:val="num" w:pos="1440"/>
        </w:tabs>
        <w:ind w:left="1440" w:hanging="360"/>
      </w:pPr>
    </w:lvl>
    <w:lvl w:ilvl="2" w:tplc="CBCAC240" w:tentative="1">
      <w:start w:val="1"/>
      <w:numFmt w:val="lowerLetter"/>
      <w:lvlText w:val="%3)"/>
      <w:lvlJc w:val="left"/>
      <w:pPr>
        <w:tabs>
          <w:tab w:val="num" w:pos="2160"/>
        </w:tabs>
        <w:ind w:left="2160" w:hanging="360"/>
      </w:pPr>
    </w:lvl>
    <w:lvl w:ilvl="3" w:tplc="89C4BBE6" w:tentative="1">
      <w:start w:val="1"/>
      <w:numFmt w:val="lowerLetter"/>
      <w:lvlText w:val="%4)"/>
      <w:lvlJc w:val="left"/>
      <w:pPr>
        <w:tabs>
          <w:tab w:val="num" w:pos="2880"/>
        </w:tabs>
        <w:ind w:left="2880" w:hanging="360"/>
      </w:pPr>
    </w:lvl>
    <w:lvl w:ilvl="4" w:tplc="DE561F60" w:tentative="1">
      <w:start w:val="1"/>
      <w:numFmt w:val="lowerLetter"/>
      <w:lvlText w:val="%5)"/>
      <w:lvlJc w:val="left"/>
      <w:pPr>
        <w:tabs>
          <w:tab w:val="num" w:pos="3600"/>
        </w:tabs>
        <w:ind w:left="3600" w:hanging="360"/>
      </w:pPr>
    </w:lvl>
    <w:lvl w:ilvl="5" w:tplc="1FDEC95E" w:tentative="1">
      <w:start w:val="1"/>
      <w:numFmt w:val="lowerLetter"/>
      <w:lvlText w:val="%6)"/>
      <w:lvlJc w:val="left"/>
      <w:pPr>
        <w:tabs>
          <w:tab w:val="num" w:pos="4320"/>
        </w:tabs>
        <w:ind w:left="4320" w:hanging="360"/>
      </w:pPr>
    </w:lvl>
    <w:lvl w:ilvl="6" w:tplc="9A4AB51A" w:tentative="1">
      <w:start w:val="1"/>
      <w:numFmt w:val="lowerLetter"/>
      <w:lvlText w:val="%7)"/>
      <w:lvlJc w:val="left"/>
      <w:pPr>
        <w:tabs>
          <w:tab w:val="num" w:pos="5040"/>
        </w:tabs>
        <w:ind w:left="5040" w:hanging="360"/>
      </w:pPr>
    </w:lvl>
    <w:lvl w:ilvl="7" w:tplc="1FB6F15E" w:tentative="1">
      <w:start w:val="1"/>
      <w:numFmt w:val="lowerLetter"/>
      <w:lvlText w:val="%8)"/>
      <w:lvlJc w:val="left"/>
      <w:pPr>
        <w:tabs>
          <w:tab w:val="num" w:pos="5760"/>
        </w:tabs>
        <w:ind w:left="5760" w:hanging="360"/>
      </w:pPr>
    </w:lvl>
    <w:lvl w:ilvl="8" w:tplc="2DDCE0D0" w:tentative="1">
      <w:start w:val="1"/>
      <w:numFmt w:val="lowerLetter"/>
      <w:lvlText w:val="%9)"/>
      <w:lvlJc w:val="left"/>
      <w:pPr>
        <w:tabs>
          <w:tab w:val="num" w:pos="6480"/>
        </w:tabs>
        <w:ind w:left="6480" w:hanging="360"/>
      </w:pPr>
    </w:lvl>
  </w:abstractNum>
  <w:abstractNum w:abstractNumId="24">
    <w:nsid w:val="728C3D36"/>
    <w:multiLevelType w:val="hybridMultilevel"/>
    <w:tmpl w:val="8698194A"/>
    <w:lvl w:ilvl="0" w:tplc="A05A474C">
      <w:start w:val="2"/>
      <w:numFmt w:val="bullet"/>
      <w:lvlText w:val="-"/>
      <w:lvlJc w:val="left"/>
      <w:pPr>
        <w:ind w:left="360" w:hanging="360"/>
      </w:pPr>
      <w:rPr>
        <w:rFonts w:ascii="Verdana" w:eastAsia="Times New Roman" w:hAnsi="Verdana"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nsid w:val="74B0467F"/>
    <w:multiLevelType w:val="hybridMultilevel"/>
    <w:tmpl w:val="1E7CFBAC"/>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nsid w:val="77F1315B"/>
    <w:multiLevelType w:val="hybridMultilevel"/>
    <w:tmpl w:val="4B8213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20"/>
  </w:num>
  <w:num w:numId="3">
    <w:abstractNumId w:val="1"/>
  </w:num>
  <w:num w:numId="4">
    <w:abstractNumId w:val="18"/>
  </w:num>
  <w:num w:numId="5">
    <w:abstractNumId w:val="26"/>
  </w:num>
  <w:num w:numId="6">
    <w:abstractNumId w:val="7"/>
  </w:num>
  <w:num w:numId="7">
    <w:abstractNumId w:val="11"/>
  </w:num>
  <w:num w:numId="8">
    <w:abstractNumId w:val="10"/>
  </w:num>
  <w:num w:numId="9">
    <w:abstractNumId w:val="9"/>
  </w:num>
  <w:num w:numId="10">
    <w:abstractNumId w:val="23"/>
  </w:num>
  <w:num w:numId="11">
    <w:abstractNumId w:val="12"/>
  </w:num>
  <w:num w:numId="12">
    <w:abstractNumId w:val="0"/>
  </w:num>
  <w:num w:numId="13">
    <w:abstractNumId w:val="8"/>
  </w:num>
  <w:num w:numId="14">
    <w:abstractNumId w:val="14"/>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2"/>
  </w:num>
  <w:num w:numId="22">
    <w:abstractNumId w:val="13"/>
  </w:num>
  <w:num w:numId="23">
    <w:abstractNumId w:val="3"/>
  </w:num>
  <w:num w:numId="24">
    <w:abstractNumId w:val="21"/>
  </w:num>
  <w:num w:numId="25">
    <w:abstractNumId w:val="24"/>
  </w:num>
  <w:num w:numId="26">
    <w:abstractNumId w:val="2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4545CF"/>
    <w:rsid w:val="00001315"/>
    <w:rsid w:val="00014FDA"/>
    <w:rsid w:val="0002378A"/>
    <w:rsid w:val="00023EBB"/>
    <w:rsid w:val="000445BB"/>
    <w:rsid w:val="00047193"/>
    <w:rsid w:val="000475D6"/>
    <w:rsid w:val="0005646E"/>
    <w:rsid w:val="00057572"/>
    <w:rsid w:val="000608AC"/>
    <w:rsid w:val="00073BF8"/>
    <w:rsid w:val="00083ED7"/>
    <w:rsid w:val="00085E35"/>
    <w:rsid w:val="0009294E"/>
    <w:rsid w:val="00094565"/>
    <w:rsid w:val="000A2BFB"/>
    <w:rsid w:val="000A40B2"/>
    <w:rsid w:val="000A4302"/>
    <w:rsid w:val="000B4196"/>
    <w:rsid w:val="000C04A1"/>
    <w:rsid w:val="000C51B9"/>
    <w:rsid w:val="000D23A4"/>
    <w:rsid w:val="000D3A21"/>
    <w:rsid w:val="000D4690"/>
    <w:rsid w:val="000D7D52"/>
    <w:rsid w:val="000D7DBE"/>
    <w:rsid w:val="000E26DA"/>
    <w:rsid w:val="000E2AB5"/>
    <w:rsid w:val="000E2E08"/>
    <w:rsid w:val="000E519E"/>
    <w:rsid w:val="000E6C89"/>
    <w:rsid w:val="000F509E"/>
    <w:rsid w:val="000F64BE"/>
    <w:rsid w:val="00100D9D"/>
    <w:rsid w:val="001036B6"/>
    <w:rsid w:val="0010412D"/>
    <w:rsid w:val="00106176"/>
    <w:rsid w:val="0011174B"/>
    <w:rsid w:val="001233E2"/>
    <w:rsid w:val="001234D8"/>
    <w:rsid w:val="00133D09"/>
    <w:rsid w:val="00140CEA"/>
    <w:rsid w:val="001506C1"/>
    <w:rsid w:val="00155E5E"/>
    <w:rsid w:val="00165EA7"/>
    <w:rsid w:val="00181C04"/>
    <w:rsid w:val="00186F30"/>
    <w:rsid w:val="0019067A"/>
    <w:rsid w:val="00190C2A"/>
    <w:rsid w:val="0019192C"/>
    <w:rsid w:val="001921D1"/>
    <w:rsid w:val="001934D7"/>
    <w:rsid w:val="001937E0"/>
    <w:rsid w:val="00196DDE"/>
    <w:rsid w:val="001A20F5"/>
    <w:rsid w:val="001A2E89"/>
    <w:rsid w:val="001B33D0"/>
    <w:rsid w:val="001C0740"/>
    <w:rsid w:val="001C2AA3"/>
    <w:rsid w:val="001C55CB"/>
    <w:rsid w:val="001D14E0"/>
    <w:rsid w:val="001D163F"/>
    <w:rsid w:val="001D6F48"/>
    <w:rsid w:val="001E51E0"/>
    <w:rsid w:val="001E60BA"/>
    <w:rsid w:val="001F1EC6"/>
    <w:rsid w:val="001F48D1"/>
    <w:rsid w:val="0020344D"/>
    <w:rsid w:val="00205D07"/>
    <w:rsid w:val="002147B0"/>
    <w:rsid w:val="00223D52"/>
    <w:rsid w:val="00224A89"/>
    <w:rsid w:val="00227CCE"/>
    <w:rsid w:val="0023016E"/>
    <w:rsid w:val="00232E57"/>
    <w:rsid w:val="00234A9E"/>
    <w:rsid w:val="00254A68"/>
    <w:rsid w:val="00254FB0"/>
    <w:rsid w:val="00255ED6"/>
    <w:rsid w:val="00257001"/>
    <w:rsid w:val="00260960"/>
    <w:rsid w:val="00262B37"/>
    <w:rsid w:val="00271434"/>
    <w:rsid w:val="002844A9"/>
    <w:rsid w:val="00284D90"/>
    <w:rsid w:val="002851CF"/>
    <w:rsid w:val="00286EB9"/>
    <w:rsid w:val="002931D7"/>
    <w:rsid w:val="00294431"/>
    <w:rsid w:val="002A10C6"/>
    <w:rsid w:val="002B25EA"/>
    <w:rsid w:val="002C148F"/>
    <w:rsid w:val="002C3B0C"/>
    <w:rsid w:val="002C63C6"/>
    <w:rsid w:val="002D5378"/>
    <w:rsid w:val="002E3D44"/>
    <w:rsid w:val="002E6CEC"/>
    <w:rsid w:val="002E7868"/>
    <w:rsid w:val="002F0824"/>
    <w:rsid w:val="00302B83"/>
    <w:rsid w:val="00303D59"/>
    <w:rsid w:val="00314B53"/>
    <w:rsid w:val="003251F1"/>
    <w:rsid w:val="00325CC9"/>
    <w:rsid w:val="00326ACA"/>
    <w:rsid w:val="00326C0D"/>
    <w:rsid w:val="003303A9"/>
    <w:rsid w:val="003345FA"/>
    <w:rsid w:val="00334A3B"/>
    <w:rsid w:val="00337A05"/>
    <w:rsid w:val="0034337B"/>
    <w:rsid w:val="00347DF4"/>
    <w:rsid w:val="0035106D"/>
    <w:rsid w:val="00365DB1"/>
    <w:rsid w:val="00373B49"/>
    <w:rsid w:val="00380BF7"/>
    <w:rsid w:val="00384326"/>
    <w:rsid w:val="00386100"/>
    <w:rsid w:val="00394394"/>
    <w:rsid w:val="003A1994"/>
    <w:rsid w:val="003A28DD"/>
    <w:rsid w:val="003A4DE1"/>
    <w:rsid w:val="003B19FF"/>
    <w:rsid w:val="003B20E5"/>
    <w:rsid w:val="003C2283"/>
    <w:rsid w:val="003C269B"/>
    <w:rsid w:val="003C3211"/>
    <w:rsid w:val="003C61D9"/>
    <w:rsid w:val="003D4EEF"/>
    <w:rsid w:val="003D5E72"/>
    <w:rsid w:val="003E38B9"/>
    <w:rsid w:val="003E59D2"/>
    <w:rsid w:val="003F222C"/>
    <w:rsid w:val="003F3EB7"/>
    <w:rsid w:val="003F4F7F"/>
    <w:rsid w:val="00401DD7"/>
    <w:rsid w:val="004052F1"/>
    <w:rsid w:val="00407515"/>
    <w:rsid w:val="00434BCD"/>
    <w:rsid w:val="004378ED"/>
    <w:rsid w:val="00437F28"/>
    <w:rsid w:val="004407E2"/>
    <w:rsid w:val="004545CF"/>
    <w:rsid w:val="004602C5"/>
    <w:rsid w:val="0046174D"/>
    <w:rsid w:val="00463813"/>
    <w:rsid w:val="00472FC0"/>
    <w:rsid w:val="00481A9B"/>
    <w:rsid w:val="004853D8"/>
    <w:rsid w:val="00485C2F"/>
    <w:rsid w:val="00490950"/>
    <w:rsid w:val="00493D8E"/>
    <w:rsid w:val="004A4332"/>
    <w:rsid w:val="004D5978"/>
    <w:rsid w:val="004E77D7"/>
    <w:rsid w:val="004F02C2"/>
    <w:rsid w:val="004F24DD"/>
    <w:rsid w:val="004F2BF4"/>
    <w:rsid w:val="004F40E6"/>
    <w:rsid w:val="00500CA1"/>
    <w:rsid w:val="00507C61"/>
    <w:rsid w:val="00510799"/>
    <w:rsid w:val="0051365D"/>
    <w:rsid w:val="005160EB"/>
    <w:rsid w:val="00517D84"/>
    <w:rsid w:val="005204CF"/>
    <w:rsid w:val="00523EA5"/>
    <w:rsid w:val="005253F6"/>
    <w:rsid w:val="00530DF7"/>
    <w:rsid w:val="00531F1C"/>
    <w:rsid w:val="0053362F"/>
    <w:rsid w:val="00533C86"/>
    <w:rsid w:val="00535E6E"/>
    <w:rsid w:val="00536D91"/>
    <w:rsid w:val="00546090"/>
    <w:rsid w:val="00547163"/>
    <w:rsid w:val="00571A2D"/>
    <w:rsid w:val="005A4F8F"/>
    <w:rsid w:val="005B4C5C"/>
    <w:rsid w:val="005B5AD0"/>
    <w:rsid w:val="005C0092"/>
    <w:rsid w:val="005C0F18"/>
    <w:rsid w:val="005C79D1"/>
    <w:rsid w:val="005D3C60"/>
    <w:rsid w:val="005E1402"/>
    <w:rsid w:val="005E2EF7"/>
    <w:rsid w:val="00602648"/>
    <w:rsid w:val="00604AFC"/>
    <w:rsid w:val="00606DBB"/>
    <w:rsid w:val="0062553A"/>
    <w:rsid w:val="0063623A"/>
    <w:rsid w:val="006403B3"/>
    <w:rsid w:val="006426A5"/>
    <w:rsid w:val="006427D0"/>
    <w:rsid w:val="00644417"/>
    <w:rsid w:val="006458BF"/>
    <w:rsid w:val="0065528F"/>
    <w:rsid w:val="006570F1"/>
    <w:rsid w:val="00665F5D"/>
    <w:rsid w:val="00666713"/>
    <w:rsid w:val="00666783"/>
    <w:rsid w:val="0066700B"/>
    <w:rsid w:val="00677AA0"/>
    <w:rsid w:val="00690C33"/>
    <w:rsid w:val="006931DE"/>
    <w:rsid w:val="006A2C5B"/>
    <w:rsid w:val="006A6047"/>
    <w:rsid w:val="006B3C15"/>
    <w:rsid w:val="006C2CF6"/>
    <w:rsid w:val="006C6695"/>
    <w:rsid w:val="006D1591"/>
    <w:rsid w:val="006D15DE"/>
    <w:rsid w:val="006D4A4F"/>
    <w:rsid w:val="006D5B8C"/>
    <w:rsid w:val="006E3611"/>
    <w:rsid w:val="006E4C21"/>
    <w:rsid w:val="006F6C7D"/>
    <w:rsid w:val="00702736"/>
    <w:rsid w:val="007037AE"/>
    <w:rsid w:val="00703D82"/>
    <w:rsid w:val="00711F7C"/>
    <w:rsid w:val="00722119"/>
    <w:rsid w:val="007249E4"/>
    <w:rsid w:val="007332DA"/>
    <w:rsid w:val="00742EA7"/>
    <w:rsid w:val="00746825"/>
    <w:rsid w:val="00746FF6"/>
    <w:rsid w:val="00751F22"/>
    <w:rsid w:val="00760B7D"/>
    <w:rsid w:val="00767583"/>
    <w:rsid w:val="007752A5"/>
    <w:rsid w:val="00776A59"/>
    <w:rsid w:val="00780F62"/>
    <w:rsid w:val="007810A9"/>
    <w:rsid w:val="00786F29"/>
    <w:rsid w:val="0079745F"/>
    <w:rsid w:val="007A2C20"/>
    <w:rsid w:val="007A3E77"/>
    <w:rsid w:val="007B1169"/>
    <w:rsid w:val="007C3A4C"/>
    <w:rsid w:val="007D03AF"/>
    <w:rsid w:val="007D2DC3"/>
    <w:rsid w:val="007D3C33"/>
    <w:rsid w:val="007D63CA"/>
    <w:rsid w:val="007D6F75"/>
    <w:rsid w:val="007E7338"/>
    <w:rsid w:val="007E7425"/>
    <w:rsid w:val="007F79D7"/>
    <w:rsid w:val="00801288"/>
    <w:rsid w:val="00804AF2"/>
    <w:rsid w:val="00816E1A"/>
    <w:rsid w:val="0082328F"/>
    <w:rsid w:val="00824EC4"/>
    <w:rsid w:val="00825A7B"/>
    <w:rsid w:val="00832A77"/>
    <w:rsid w:val="00836E49"/>
    <w:rsid w:val="00837093"/>
    <w:rsid w:val="008421B6"/>
    <w:rsid w:val="00854F8F"/>
    <w:rsid w:val="008707C1"/>
    <w:rsid w:val="00871A0D"/>
    <w:rsid w:val="008734B7"/>
    <w:rsid w:val="00886C2D"/>
    <w:rsid w:val="008877CC"/>
    <w:rsid w:val="008910C2"/>
    <w:rsid w:val="00891DF9"/>
    <w:rsid w:val="008B62F5"/>
    <w:rsid w:val="008C6C2E"/>
    <w:rsid w:val="008D0B68"/>
    <w:rsid w:val="008D56BE"/>
    <w:rsid w:val="008E27BE"/>
    <w:rsid w:val="008E4327"/>
    <w:rsid w:val="008E7344"/>
    <w:rsid w:val="00903CD8"/>
    <w:rsid w:val="00904BC1"/>
    <w:rsid w:val="00906573"/>
    <w:rsid w:val="00912472"/>
    <w:rsid w:val="00920713"/>
    <w:rsid w:val="00921669"/>
    <w:rsid w:val="00937618"/>
    <w:rsid w:val="0095472D"/>
    <w:rsid w:val="00956644"/>
    <w:rsid w:val="0097101E"/>
    <w:rsid w:val="00980D4F"/>
    <w:rsid w:val="00981AA8"/>
    <w:rsid w:val="00981EFB"/>
    <w:rsid w:val="00984103"/>
    <w:rsid w:val="00986010"/>
    <w:rsid w:val="00993E7A"/>
    <w:rsid w:val="009A3D27"/>
    <w:rsid w:val="009B245E"/>
    <w:rsid w:val="009B2592"/>
    <w:rsid w:val="009B29AC"/>
    <w:rsid w:val="009B55AF"/>
    <w:rsid w:val="009C1A63"/>
    <w:rsid w:val="009C4B0B"/>
    <w:rsid w:val="009C55AA"/>
    <w:rsid w:val="009C57C2"/>
    <w:rsid w:val="009C6680"/>
    <w:rsid w:val="009D0F10"/>
    <w:rsid w:val="009F1B73"/>
    <w:rsid w:val="009F6724"/>
    <w:rsid w:val="00A01C66"/>
    <w:rsid w:val="00A01F1C"/>
    <w:rsid w:val="00A12BFD"/>
    <w:rsid w:val="00A176CA"/>
    <w:rsid w:val="00A26136"/>
    <w:rsid w:val="00A30D0E"/>
    <w:rsid w:val="00A318D2"/>
    <w:rsid w:val="00A3235A"/>
    <w:rsid w:val="00A34367"/>
    <w:rsid w:val="00A34A45"/>
    <w:rsid w:val="00A403E5"/>
    <w:rsid w:val="00A417A5"/>
    <w:rsid w:val="00A44668"/>
    <w:rsid w:val="00A51C82"/>
    <w:rsid w:val="00A53BEE"/>
    <w:rsid w:val="00A846AF"/>
    <w:rsid w:val="00A85CD1"/>
    <w:rsid w:val="00A878BE"/>
    <w:rsid w:val="00A879C7"/>
    <w:rsid w:val="00A96A44"/>
    <w:rsid w:val="00AA20B7"/>
    <w:rsid w:val="00AB0D89"/>
    <w:rsid w:val="00AB39CB"/>
    <w:rsid w:val="00AB7224"/>
    <w:rsid w:val="00AC56CB"/>
    <w:rsid w:val="00AC70FB"/>
    <w:rsid w:val="00AD034B"/>
    <w:rsid w:val="00AD2591"/>
    <w:rsid w:val="00AE2DA1"/>
    <w:rsid w:val="00AE48E0"/>
    <w:rsid w:val="00AF6FDE"/>
    <w:rsid w:val="00AF7366"/>
    <w:rsid w:val="00B022CB"/>
    <w:rsid w:val="00B02E3D"/>
    <w:rsid w:val="00B03E85"/>
    <w:rsid w:val="00B04561"/>
    <w:rsid w:val="00B06C1B"/>
    <w:rsid w:val="00B077AC"/>
    <w:rsid w:val="00B113A9"/>
    <w:rsid w:val="00B36401"/>
    <w:rsid w:val="00B3704B"/>
    <w:rsid w:val="00B37717"/>
    <w:rsid w:val="00B40092"/>
    <w:rsid w:val="00B46B42"/>
    <w:rsid w:val="00B5457A"/>
    <w:rsid w:val="00B671E3"/>
    <w:rsid w:val="00B727B6"/>
    <w:rsid w:val="00B72890"/>
    <w:rsid w:val="00B7316A"/>
    <w:rsid w:val="00B83694"/>
    <w:rsid w:val="00B83D3F"/>
    <w:rsid w:val="00B85241"/>
    <w:rsid w:val="00B91AAB"/>
    <w:rsid w:val="00B9284A"/>
    <w:rsid w:val="00B932BE"/>
    <w:rsid w:val="00BA7436"/>
    <w:rsid w:val="00BC01AF"/>
    <w:rsid w:val="00BC0A35"/>
    <w:rsid w:val="00BC4EEF"/>
    <w:rsid w:val="00BD5B8F"/>
    <w:rsid w:val="00BF37CD"/>
    <w:rsid w:val="00BF42B8"/>
    <w:rsid w:val="00C13DBE"/>
    <w:rsid w:val="00C21007"/>
    <w:rsid w:val="00C31F33"/>
    <w:rsid w:val="00C3751A"/>
    <w:rsid w:val="00C4292A"/>
    <w:rsid w:val="00C4393A"/>
    <w:rsid w:val="00C56DF3"/>
    <w:rsid w:val="00C63A87"/>
    <w:rsid w:val="00C65C47"/>
    <w:rsid w:val="00C66BC2"/>
    <w:rsid w:val="00C7052B"/>
    <w:rsid w:val="00C74BAA"/>
    <w:rsid w:val="00C7637E"/>
    <w:rsid w:val="00C8038C"/>
    <w:rsid w:val="00C94A68"/>
    <w:rsid w:val="00C958C0"/>
    <w:rsid w:val="00C9727C"/>
    <w:rsid w:val="00CA1C6F"/>
    <w:rsid w:val="00CA567E"/>
    <w:rsid w:val="00CA6D26"/>
    <w:rsid w:val="00CB229A"/>
    <w:rsid w:val="00CB6CA6"/>
    <w:rsid w:val="00CC4958"/>
    <w:rsid w:val="00CC6841"/>
    <w:rsid w:val="00CD345A"/>
    <w:rsid w:val="00CF5FC3"/>
    <w:rsid w:val="00CF6BE4"/>
    <w:rsid w:val="00D00D87"/>
    <w:rsid w:val="00D108F7"/>
    <w:rsid w:val="00D11C18"/>
    <w:rsid w:val="00D20300"/>
    <w:rsid w:val="00D213E4"/>
    <w:rsid w:val="00D23DB7"/>
    <w:rsid w:val="00D25396"/>
    <w:rsid w:val="00D33033"/>
    <w:rsid w:val="00D337B1"/>
    <w:rsid w:val="00D424C6"/>
    <w:rsid w:val="00D42CF2"/>
    <w:rsid w:val="00D45309"/>
    <w:rsid w:val="00D46B9E"/>
    <w:rsid w:val="00D51184"/>
    <w:rsid w:val="00D52406"/>
    <w:rsid w:val="00D541F9"/>
    <w:rsid w:val="00D54AF2"/>
    <w:rsid w:val="00D54E67"/>
    <w:rsid w:val="00D54EBD"/>
    <w:rsid w:val="00D5735D"/>
    <w:rsid w:val="00D61D1D"/>
    <w:rsid w:val="00D63456"/>
    <w:rsid w:val="00D63534"/>
    <w:rsid w:val="00D6522B"/>
    <w:rsid w:val="00D6598D"/>
    <w:rsid w:val="00D7055B"/>
    <w:rsid w:val="00D706C8"/>
    <w:rsid w:val="00D844F0"/>
    <w:rsid w:val="00D85A46"/>
    <w:rsid w:val="00D8603F"/>
    <w:rsid w:val="00DA0239"/>
    <w:rsid w:val="00DA2C80"/>
    <w:rsid w:val="00DA3C16"/>
    <w:rsid w:val="00DA5D29"/>
    <w:rsid w:val="00DB2989"/>
    <w:rsid w:val="00DC769B"/>
    <w:rsid w:val="00DD1CE3"/>
    <w:rsid w:val="00DD6E1C"/>
    <w:rsid w:val="00DE2447"/>
    <w:rsid w:val="00DE7005"/>
    <w:rsid w:val="00DF1DD5"/>
    <w:rsid w:val="00E010A3"/>
    <w:rsid w:val="00E03A4B"/>
    <w:rsid w:val="00E03C58"/>
    <w:rsid w:val="00E03E48"/>
    <w:rsid w:val="00E068B3"/>
    <w:rsid w:val="00E11D2A"/>
    <w:rsid w:val="00E1374B"/>
    <w:rsid w:val="00E13E9B"/>
    <w:rsid w:val="00E34D1E"/>
    <w:rsid w:val="00E353A8"/>
    <w:rsid w:val="00E44A4F"/>
    <w:rsid w:val="00E453E1"/>
    <w:rsid w:val="00E4651E"/>
    <w:rsid w:val="00E50969"/>
    <w:rsid w:val="00E5355E"/>
    <w:rsid w:val="00E56497"/>
    <w:rsid w:val="00E6094A"/>
    <w:rsid w:val="00E614B4"/>
    <w:rsid w:val="00E66AC5"/>
    <w:rsid w:val="00E718B1"/>
    <w:rsid w:val="00E77299"/>
    <w:rsid w:val="00E93479"/>
    <w:rsid w:val="00E95E36"/>
    <w:rsid w:val="00E96660"/>
    <w:rsid w:val="00E96FD7"/>
    <w:rsid w:val="00EA6DCD"/>
    <w:rsid w:val="00EB1CDE"/>
    <w:rsid w:val="00EC4EA4"/>
    <w:rsid w:val="00EC54CB"/>
    <w:rsid w:val="00EC6DCB"/>
    <w:rsid w:val="00ED1A04"/>
    <w:rsid w:val="00ED345F"/>
    <w:rsid w:val="00ED50F2"/>
    <w:rsid w:val="00ED5DC7"/>
    <w:rsid w:val="00EE57F4"/>
    <w:rsid w:val="00EE634D"/>
    <w:rsid w:val="00EE6667"/>
    <w:rsid w:val="00F00875"/>
    <w:rsid w:val="00F11A5D"/>
    <w:rsid w:val="00F21944"/>
    <w:rsid w:val="00F23857"/>
    <w:rsid w:val="00F26C06"/>
    <w:rsid w:val="00F26DD5"/>
    <w:rsid w:val="00F32378"/>
    <w:rsid w:val="00F54D95"/>
    <w:rsid w:val="00F662F3"/>
    <w:rsid w:val="00F736A1"/>
    <w:rsid w:val="00F7544A"/>
    <w:rsid w:val="00F87303"/>
    <w:rsid w:val="00F87B17"/>
    <w:rsid w:val="00F94901"/>
    <w:rsid w:val="00F97353"/>
    <w:rsid w:val="00FA54E3"/>
    <w:rsid w:val="00FA620C"/>
    <w:rsid w:val="00FB156B"/>
    <w:rsid w:val="00FB4798"/>
    <w:rsid w:val="00FB5102"/>
    <w:rsid w:val="00FB51C7"/>
    <w:rsid w:val="00FC2FCD"/>
    <w:rsid w:val="00FC41FB"/>
    <w:rsid w:val="00FD08D8"/>
    <w:rsid w:val="00FD6445"/>
    <w:rsid w:val="00FF16DA"/>
    <w:rsid w:val="00FF75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8DD"/>
    <w:pPr>
      <w:jc w:val="both"/>
    </w:pPr>
    <w:rPr>
      <w:sz w:val="24"/>
      <w:szCs w:val="24"/>
      <w:lang w:val="es-ES" w:eastAsia="es-ES"/>
    </w:rPr>
  </w:style>
  <w:style w:type="paragraph" w:styleId="Ttulo1">
    <w:name w:val="heading 1"/>
    <w:basedOn w:val="Normal"/>
    <w:next w:val="Normal"/>
    <w:qFormat/>
    <w:rsid w:val="003A28DD"/>
    <w:pPr>
      <w:keepNext/>
      <w:outlineLvl w:val="0"/>
    </w:pPr>
    <w:rPr>
      <w:sz w:val="22"/>
      <w:u w:val="single"/>
      <w:lang w:val="es-MX"/>
    </w:rPr>
  </w:style>
  <w:style w:type="paragraph" w:styleId="Ttulo2">
    <w:name w:val="heading 2"/>
    <w:basedOn w:val="Normal"/>
    <w:next w:val="Normal"/>
    <w:qFormat/>
    <w:rsid w:val="003A28DD"/>
    <w:pPr>
      <w:keepNext/>
      <w:outlineLvl w:val="1"/>
    </w:pPr>
    <w:rPr>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28DD"/>
    <w:pPr>
      <w:tabs>
        <w:tab w:val="center" w:pos="4419"/>
        <w:tab w:val="right" w:pos="8838"/>
      </w:tabs>
    </w:pPr>
  </w:style>
  <w:style w:type="paragraph" w:styleId="Piedepgina">
    <w:name w:val="footer"/>
    <w:basedOn w:val="Normal"/>
    <w:link w:val="PiedepginaCar"/>
    <w:uiPriority w:val="99"/>
    <w:rsid w:val="003A28DD"/>
    <w:pPr>
      <w:tabs>
        <w:tab w:val="center" w:pos="4419"/>
        <w:tab w:val="right" w:pos="8838"/>
      </w:tabs>
    </w:pPr>
  </w:style>
  <w:style w:type="character" w:styleId="Hipervnculo">
    <w:name w:val="Hyperlink"/>
    <w:rsid w:val="003A28DD"/>
    <w:rPr>
      <w:color w:val="0000FF"/>
      <w:u w:val="single"/>
    </w:rPr>
  </w:style>
  <w:style w:type="character" w:styleId="Textoennegrita">
    <w:name w:val="Strong"/>
    <w:qFormat/>
    <w:rsid w:val="004545CF"/>
    <w:rPr>
      <w:b/>
      <w:bCs/>
    </w:rPr>
  </w:style>
  <w:style w:type="character" w:customStyle="1" w:styleId="PiedepginaCar">
    <w:name w:val="Pie de página Car"/>
    <w:link w:val="Piedepgina"/>
    <w:uiPriority w:val="99"/>
    <w:rsid w:val="004F24DD"/>
    <w:rPr>
      <w:sz w:val="24"/>
      <w:szCs w:val="24"/>
      <w:lang w:val="es-ES" w:eastAsia="es-ES"/>
    </w:rPr>
  </w:style>
  <w:style w:type="table" w:styleId="Tablaconcuadrcula">
    <w:name w:val="Table Grid"/>
    <w:basedOn w:val="Tablanormal"/>
    <w:rsid w:val="004F2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link w:val="Encabezado"/>
    <w:uiPriority w:val="99"/>
    <w:rsid w:val="00B37717"/>
    <w:rPr>
      <w:sz w:val="24"/>
      <w:szCs w:val="24"/>
      <w:lang w:val="es-ES" w:eastAsia="es-ES"/>
    </w:rPr>
  </w:style>
  <w:style w:type="paragraph" w:customStyle="1" w:styleId="Cuadrculamedia1-nfasis21">
    <w:name w:val="Cuadrícula media 1 - Énfasis 21"/>
    <w:basedOn w:val="Normal"/>
    <w:uiPriority w:val="34"/>
    <w:qFormat/>
    <w:rsid w:val="00C63A87"/>
    <w:pPr>
      <w:spacing w:after="200" w:line="276" w:lineRule="auto"/>
      <w:ind w:left="720"/>
      <w:contextualSpacing/>
      <w:jc w:val="left"/>
    </w:pPr>
    <w:rPr>
      <w:rFonts w:ascii="Calibri" w:eastAsia="Calibri" w:hAnsi="Calibri"/>
      <w:sz w:val="22"/>
      <w:szCs w:val="22"/>
      <w:lang w:val="es-CL" w:eastAsia="en-US"/>
    </w:rPr>
  </w:style>
  <w:style w:type="character" w:styleId="Refdecomentario">
    <w:name w:val="annotation reference"/>
    <w:uiPriority w:val="99"/>
    <w:rsid w:val="00666713"/>
    <w:rPr>
      <w:sz w:val="16"/>
      <w:szCs w:val="16"/>
    </w:rPr>
  </w:style>
  <w:style w:type="paragraph" w:styleId="Textocomentario">
    <w:name w:val="annotation text"/>
    <w:basedOn w:val="Normal"/>
    <w:link w:val="TextocomentarioCar"/>
    <w:uiPriority w:val="99"/>
    <w:rsid w:val="00666713"/>
    <w:rPr>
      <w:sz w:val="20"/>
      <w:szCs w:val="20"/>
    </w:rPr>
  </w:style>
  <w:style w:type="character" w:customStyle="1" w:styleId="TextocomentarioCar">
    <w:name w:val="Texto comentario Car"/>
    <w:basedOn w:val="Fuentedeprrafopredeter"/>
    <w:link w:val="Textocomentario"/>
    <w:uiPriority w:val="99"/>
    <w:rsid w:val="00666713"/>
  </w:style>
  <w:style w:type="paragraph" w:styleId="Asuntodelcomentario">
    <w:name w:val="annotation subject"/>
    <w:basedOn w:val="Textocomentario"/>
    <w:next w:val="Textocomentario"/>
    <w:link w:val="AsuntodelcomentarioCar"/>
    <w:rsid w:val="00666713"/>
    <w:rPr>
      <w:b/>
      <w:bCs/>
    </w:rPr>
  </w:style>
  <w:style w:type="character" w:customStyle="1" w:styleId="AsuntodelcomentarioCar">
    <w:name w:val="Asunto del comentario Car"/>
    <w:link w:val="Asuntodelcomentario"/>
    <w:rsid w:val="00666713"/>
    <w:rPr>
      <w:b/>
      <w:bCs/>
    </w:rPr>
  </w:style>
  <w:style w:type="paragraph" w:styleId="Textodeglobo">
    <w:name w:val="Balloon Text"/>
    <w:basedOn w:val="Normal"/>
    <w:link w:val="TextodegloboCar"/>
    <w:rsid w:val="00666713"/>
    <w:rPr>
      <w:rFonts w:ascii="Tahoma" w:hAnsi="Tahoma"/>
      <w:sz w:val="16"/>
      <w:szCs w:val="16"/>
    </w:rPr>
  </w:style>
  <w:style w:type="character" w:customStyle="1" w:styleId="TextodegloboCar">
    <w:name w:val="Texto de globo Car"/>
    <w:link w:val="Textodeglobo"/>
    <w:rsid w:val="00666713"/>
    <w:rPr>
      <w:rFonts w:ascii="Tahoma" w:hAnsi="Tahoma" w:cs="Tahoma"/>
      <w:sz w:val="16"/>
      <w:szCs w:val="16"/>
    </w:rPr>
  </w:style>
  <w:style w:type="character" w:customStyle="1" w:styleId="apple-converted-space">
    <w:name w:val="apple-converted-space"/>
    <w:basedOn w:val="Fuentedeprrafopredeter"/>
    <w:rsid w:val="00666713"/>
  </w:style>
  <w:style w:type="paragraph" w:styleId="Prrafodelista">
    <w:name w:val="List Paragraph"/>
    <w:basedOn w:val="Normal"/>
    <w:uiPriority w:val="34"/>
    <w:qFormat/>
    <w:rsid w:val="0053362F"/>
    <w:pPr>
      <w:spacing w:after="200" w:line="276" w:lineRule="auto"/>
      <w:ind w:left="720"/>
      <w:contextualSpacing/>
      <w:jc w:val="left"/>
    </w:pPr>
    <w:rPr>
      <w:rFonts w:ascii="Calibri" w:eastAsia="Calibri" w:hAnsi="Calibri"/>
      <w:sz w:val="22"/>
      <w:szCs w:val="22"/>
      <w:lang w:val="es-CL" w:eastAsia="en-US"/>
    </w:rPr>
  </w:style>
  <w:style w:type="paragraph" w:styleId="Textonotapie">
    <w:name w:val="footnote text"/>
    <w:basedOn w:val="Normal"/>
    <w:link w:val="TextonotapieCar"/>
    <w:uiPriority w:val="99"/>
    <w:unhideWhenUsed/>
    <w:rsid w:val="006570F1"/>
    <w:rPr>
      <w:rFonts w:ascii="Calibri" w:eastAsia="Calibri" w:hAnsi="Calibri"/>
      <w:sz w:val="20"/>
      <w:szCs w:val="20"/>
      <w:lang w:val="es-CL" w:eastAsia="en-US"/>
    </w:rPr>
  </w:style>
  <w:style w:type="character" w:customStyle="1" w:styleId="TextonotapieCar">
    <w:name w:val="Texto nota pie Car"/>
    <w:basedOn w:val="Fuentedeprrafopredeter"/>
    <w:link w:val="Textonotapie"/>
    <w:uiPriority w:val="99"/>
    <w:rsid w:val="006570F1"/>
    <w:rPr>
      <w:rFonts w:ascii="Calibri" w:eastAsia="Calibri" w:hAnsi="Calibri"/>
      <w:lang w:eastAsia="en-US"/>
    </w:rPr>
  </w:style>
  <w:style w:type="character" w:styleId="Refdenotaalpie">
    <w:name w:val="footnote reference"/>
    <w:basedOn w:val="Fuentedeprrafopredeter"/>
    <w:uiPriority w:val="99"/>
    <w:unhideWhenUsed/>
    <w:rsid w:val="006570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28DD"/>
    <w:pPr>
      <w:jc w:val="both"/>
    </w:pPr>
    <w:rPr>
      <w:sz w:val="24"/>
      <w:szCs w:val="24"/>
      <w:lang w:val="es-ES" w:eastAsia="es-ES"/>
    </w:rPr>
  </w:style>
  <w:style w:type="paragraph" w:styleId="Ttulo1">
    <w:name w:val="heading 1"/>
    <w:basedOn w:val="Normal"/>
    <w:next w:val="Normal"/>
    <w:qFormat/>
    <w:rsid w:val="003A28DD"/>
    <w:pPr>
      <w:keepNext/>
      <w:outlineLvl w:val="0"/>
    </w:pPr>
    <w:rPr>
      <w:sz w:val="22"/>
      <w:u w:val="single"/>
      <w:lang w:val="es-MX"/>
    </w:rPr>
  </w:style>
  <w:style w:type="paragraph" w:styleId="Ttulo2">
    <w:name w:val="heading 2"/>
    <w:basedOn w:val="Normal"/>
    <w:next w:val="Normal"/>
    <w:qFormat/>
    <w:rsid w:val="003A28DD"/>
    <w:pPr>
      <w:keepNext/>
      <w:outlineLvl w:val="1"/>
    </w:pPr>
    <w:rPr>
      <w:b/>
      <w:bCs/>
      <w:sz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HeaderChar"/>
    <w:uiPriority w:val="99"/>
    <w:rsid w:val="003A28DD"/>
    <w:pPr>
      <w:tabs>
        <w:tab w:val="center" w:pos="4419"/>
        <w:tab w:val="right" w:pos="8838"/>
      </w:tabs>
    </w:pPr>
  </w:style>
  <w:style w:type="paragraph" w:styleId="Piedepgina">
    <w:name w:val="footer"/>
    <w:basedOn w:val="Normal"/>
    <w:link w:val="FooterChar"/>
    <w:uiPriority w:val="99"/>
    <w:rsid w:val="003A28DD"/>
    <w:pPr>
      <w:tabs>
        <w:tab w:val="center" w:pos="4419"/>
        <w:tab w:val="right" w:pos="8838"/>
      </w:tabs>
    </w:pPr>
  </w:style>
  <w:style w:type="character" w:styleId="Hipervnculo">
    <w:name w:val="Hyperlink"/>
    <w:rsid w:val="003A28DD"/>
    <w:rPr>
      <w:color w:val="0000FF"/>
      <w:u w:val="single"/>
    </w:rPr>
  </w:style>
  <w:style w:type="character" w:styleId="Textoennegrita">
    <w:name w:val="Strong"/>
    <w:qFormat/>
    <w:rsid w:val="004545CF"/>
    <w:rPr>
      <w:b/>
      <w:bCs/>
    </w:rPr>
  </w:style>
  <w:style w:type="character" w:customStyle="1" w:styleId="FooterChar">
    <w:name w:val="Footer Char"/>
    <w:link w:val="Piedepgina"/>
    <w:uiPriority w:val="99"/>
    <w:rsid w:val="004F24DD"/>
    <w:rPr>
      <w:sz w:val="24"/>
      <w:szCs w:val="24"/>
      <w:lang w:val="es-ES" w:eastAsia="es-ES"/>
    </w:rPr>
  </w:style>
  <w:style w:type="table" w:styleId="Tablaconcuadrcula">
    <w:name w:val="Table Grid"/>
    <w:basedOn w:val="Tablanormal"/>
    <w:rsid w:val="004F2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Encabezado"/>
    <w:uiPriority w:val="99"/>
    <w:rsid w:val="00B37717"/>
    <w:rPr>
      <w:sz w:val="24"/>
      <w:szCs w:val="24"/>
      <w:lang w:val="es-ES" w:eastAsia="es-ES"/>
    </w:rPr>
  </w:style>
  <w:style w:type="paragraph" w:customStyle="1" w:styleId="Cuadrculamedia1-nfasis21">
    <w:name w:val="Cuadrícula media 1 - Énfasis 21"/>
    <w:basedOn w:val="Normal"/>
    <w:uiPriority w:val="34"/>
    <w:qFormat/>
    <w:rsid w:val="00C63A87"/>
    <w:pPr>
      <w:spacing w:after="200" w:line="276" w:lineRule="auto"/>
      <w:ind w:left="720"/>
      <w:contextualSpacing/>
      <w:jc w:val="left"/>
    </w:pPr>
    <w:rPr>
      <w:rFonts w:ascii="Calibri" w:eastAsia="Calibri" w:hAnsi="Calibri"/>
      <w:sz w:val="22"/>
      <w:szCs w:val="22"/>
      <w:lang w:val="es-CL" w:eastAsia="en-US"/>
    </w:rPr>
  </w:style>
  <w:style w:type="character" w:styleId="Refdecomentario">
    <w:name w:val="annotation reference"/>
    <w:uiPriority w:val="99"/>
    <w:rsid w:val="00666713"/>
    <w:rPr>
      <w:sz w:val="16"/>
      <w:szCs w:val="16"/>
    </w:rPr>
  </w:style>
  <w:style w:type="paragraph" w:styleId="Textocomentario">
    <w:name w:val="annotation text"/>
    <w:basedOn w:val="Normal"/>
    <w:link w:val="CommentTextChar"/>
    <w:uiPriority w:val="99"/>
    <w:rsid w:val="00666713"/>
    <w:rPr>
      <w:sz w:val="20"/>
      <w:szCs w:val="20"/>
    </w:rPr>
  </w:style>
  <w:style w:type="character" w:customStyle="1" w:styleId="CommentTextChar">
    <w:name w:val="Comment Text Char"/>
    <w:basedOn w:val="Fuentedeprrafopredeter"/>
    <w:link w:val="Textocomentario"/>
    <w:uiPriority w:val="99"/>
    <w:rsid w:val="00666713"/>
  </w:style>
  <w:style w:type="paragraph" w:styleId="Asuntodelcomentario">
    <w:name w:val="annotation subject"/>
    <w:basedOn w:val="Textocomentario"/>
    <w:next w:val="Textocomentario"/>
    <w:link w:val="CommentSubjectChar"/>
    <w:rsid w:val="00666713"/>
    <w:rPr>
      <w:b/>
      <w:bCs/>
    </w:rPr>
  </w:style>
  <w:style w:type="character" w:customStyle="1" w:styleId="CommentSubjectChar">
    <w:name w:val="Comment Subject Char"/>
    <w:link w:val="Asuntodelcomentario"/>
    <w:rsid w:val="00666713"/>
    <w:rPr>
      <w:b/>
      <w:bCs/>
    </w:rPr>
  </w:style>
  <w:style w:type="paragraph" w:styleId="Textodeglobo">
    <w:name w:val="Balloon Text"/>
    <w:basedOn w:val="Normal"/>
    <w:link w:val="BalloonTextChar"/>
    <w:rsid w:val="00666713"/>
    <w:rPr>
      <w:rFonts w:ascii="Tahoma" w:hAnsi="Tahoma"/>
      <w:sz w:val="16"/>
      <w:szCs w:val="16"/>
    </w:rPr>
  </w:style>
  <w:style w:type="character" w:customStyle="1" w:styleId="BalloonTextChar">
    <w:name w:val="Balloon Text Char"/>
    <w:link w:val="Textodeglobo"/>
    <w:rsid w:val="00666713"/>
    <w:rPr>
      <w:rFonts w:ascii="Tahoma" w:hAnsi="Tahoma" w:cs="Tahoma"/>
      <w:sz w:val="16"/>
      <w:szCs w:val="16"/>
    </w:rPr>
  </w:style>
  <w:style w:type="character" w:customStyle="1" w:styleId="apple-converted-space">
    <w:name w:val="apple-converted-space"/>
    <w:basedOn w:val="Fuentedeprrafopredeter"/>
    <w:rsid w:val="00666713"/>
  </w:style>
  <w:style w:type="paragraph" w:styleId="Prrafodelista">
    <w:name w:val="List Paragraph"/>
    <w:basedOn w:val="Normal"/>
    <w:uiPriority w:val="34"/>
    <w:qFormat/>
    <w:rsid w:val="0053362F"/>
    <w:pPr>
      <w:spacing w:after="200" w:line="276" w:lineRule="auto"/>
      <w:ind w:left="720"/>
      <w:contextualSpacing/>
      <w:jc w:val="left"/>
    </w:pPr>
    <w:rPr>
      <w:rFonts w:ascii="Calibri" w:eastAsia="Calibri" w:hAnsi="Calibri"/>
      <w:sz w:val="22"/>
      <w:szCs w:val="22"/>
      <w:lang w:val="es-CL" w:eastAsia="en-US"/>
    </w:rPr>
  </w:style>
  <w:style w:type="paragraph" w:styleId="Textonotapie">
    <w:name w:val="footnote text"/>
    <w:basedOn w:val="Normal"/>
    <w:link w:val="FootnoteTextChar"/>
    <w:uiPriority w:val="99"/>
    <w:unhideWhenUsed/>
    <w:rsid w:val="006570F1"/>
    <w:rPr>
      <w:rFonts w:ascii="Calibri" w:eastAsia="Calibri" w:hAnsi="Calibri"/>
      <w:sz w:val="20"/>
      <w:szCs w:val="20"/>
      <w:lang w:val="es-CL" w:eastAsia="en-US"/>
    </w:rPr>
  </w:style>
  <w:style w:type="character" w:customStyle="1" w:styleId="FootnoteTextChar">
    <w:name w:val="Footnote Text Char"/>
    <w:basedOn w:val="Fuentedeprrafopredeter"/>
    <w:link w:val="Textonotapie"/>
    <w:uiPriority w:val="99"/>
    <w:rsid w:val="006570F1"/>
    <w:rPr>
      <w:rFonts w:ascii="Calibri" w:eastAsia="Calibri" w:hAnsi="Calibri"/>
      <w:lang w:eastAsia="en-US"/>
    </w:rPr>
  </w:style>
  <w:style w:type="character" w:styleId="Refdenotaalpie">
    <w:name w:val="footnote reference"/>
    <w:basedOn w:val="Fuentedeprrafopredeter"/>
    <w:uiPriority w:val="99"/>
    <w:unhideWhenUsed/>
    <w:rsid w:val="006570F1"/>
    <w:rPr>
      <w:vertAlign w:val="superscript"/>
    </w:rPr>
  </w:style>
</w:styles>
</file>

<file path=word/webSettings.xml><?xml version="1.0" encoding="utf-8"?>
<w:webSettings xmlns:r="http://schemas.openxmlformats.org/officeDocument/2006/relationships" xmlns:w="http://schemas.openxmlformats.org/wordprocessingml/2006/main">
  <w:divs>
    <w:div w:id="414254159">
      <w:bodyDiv w:val="1"/>
      <w:marLeft w:val="0"/>
      <w:marRight w:val="0"/>
      <w:marTop w:val="0"/>
      <w:marBottom w:val="0"/>
      <w:divBdr>
        <w:top w:val="none" w:sz="0" w:space="0" w:color="auto"/>
        <w:left w:val="none" w:sz="0" w:space="0" w:color="auto"/>
        <w:bottom w:val="none" w:sz="0" w:space="0" w:color="auto"/>
        <w:right w:val="none" w:sz="0" w:space="0" w:color="auto"/>
      </w:divBdr>
    </w:div>
    <w:div w:id="896287129">
      <w:bodyDiv w:val="1"/>
      <w:marLeft w:val="0"/>
      <w:marRight w:val="0"/>
      <w:marTop w:val="0"/>
      <w:marBottom w:val="0"/>
      <w:divBdr>
        <w:top w:val="none" w:sz="0" w:space="0" w:color="auto"/>
        <w:left w:val="none" w:sz="0" w:space="0" w:color="auto"/>
        <w:bottom w:val="none" w:sz="0" w:space="0" w:color="auto"/>
        <w:right w:val="none" w:sz="0" w:space="0" w:color="auto"/>
      </w:divBdr>
    </w:div>
    <w:div w:id="1209487061">
      <w:bodyDiv w:val="1"/>
      <w:marLeft w:val="0"/>
      <w:marRight w:val="0"/>
      <w:marTop w:val="0"/>
      <w:marBottom w:val="0"/>
      <w:divBdr>
        <w:top w:val="none" w:sz="0" w:space="0" w:color="auto"/>
        <w:left w:val="none" w:sz="0" w:space="0" w:color="auto"/>
        <w:bottom w:val="none" w:sz="0" w:space="0" w:color="auto"/>
        <w:right w:val="none" w:sz="0" w:space="0" w:color="auto"/>
      </w:divBdr>
      <w:divsChild>
        <w:div w:id="470053082">
          <w:marLeft w:val="1267"/>
          <w:marRight w:val="0"/>
          <w:marTop w:val="0"/>
          <w:marBottom w:val="0"/>
          <w:divBdr>
            <w:top w:val="none" w:sz="0" w:space="0" w:color="auto"/>
            <w:left w:val="none" w:sz="0" w:space="0" w:color="auto"/>
            <w:bottom w:val="none" w:sz="0" w:space="0" w:color="auto"/>
            <w:right w:val="none" w:sz="0" w:space="0" w:color="auto"/>
          </w:divBdr>
        </w:div>
        <w:div w:id="644433537">
          <w:marLeft w:val="1267"/>
          <w:marRight w:val="0"/>
          <w:marTop w:val="0"/>
          <w:marBottom w:val="0"/>
          <w:divBdr>
            <w:top w:val="none" w:sz="0" w:space="0" w:color="auto"/>
            <w:left w:val="none" w:sz="0" w:space="0" w:color="auto"/>
            <w:bottom w:val="none" w:sz="0" w:space="0" w:color="auto"/>
            <w:right w:val="none" w:sz="0" w:space="0" w:color="auto"/>
          </w:divBdr>
        </w:div>
        <w:div w:id="1292900581">
          <w:marLeft w:val="1267"/>
          <w:marRight w:val="0"/>
          <w:marTop w:val="0"/>
          <w:marBottom w:val="0"/>
          <w:divBdr>
            <w:top w:val="none" w:sz="0" w:space="0" w:color="auto"/>
            <w:left w:val="none" w:sz="0" w:space="0" w:color="auto"/>
            <w:bottom w:val="none" w:sz="0" w:space="0" w:color="auto"/>
            <w:right w:val="none" w:sz="0" w:space="0" w:color="auto"/>
          </w:divBdr>
        </w:div>
        <w:div w:id="1586301991">
          <w:marLeft w:val="1267"/>
          <w:marRight w:val="0"/>
          <w:marTop w:val="0"/>
          <w:marBottom w:val="0"/>
          <w:divBdr>
            <w:top w:val="none" w:sz="0" w:space="0" w:color="auto"/>
            <w:left w:val="none" w:sz="0" w:space="0" w:color="auto"/>
            <w:bottom w:val="none" w:sz="0" w:space="0" w:color="auto"/>
            <w:right w:val="none" w:sz="0" w:space="0" w:color="auto"/>
          </w:divBdr>
        </w:div>
        <w:div w:id="2111508066">
          <w:marLeft w:val="1267"/>
          <w:marRight w:val="0"/>
          <w:marTop w:val="0"/>
          <w:marBottom w:val="0"/>
          <w:divBdr>
            <w:top w:val="none" w:sz="0" w:space="0" w:color="auto"/>
            <w:left w:val="none" w:sz="0" w:space="0" w:color="auto"/>
            <w:bottom w:val="none" w:sz="0" w:space="0" w:color="auto"/>
            <w:right w:val="none" w:sz="0" w:space="0" w:color="auto"/>
          </w:divBdr>
        </w:div>
      </w:divsChild>
    </w:div>
    <w:div w:id="1411003441">
      <w:bodyDiv w:val="1"/>
      <w:marLeft w:val="0"/>
      <w:marRight w:val="0"/>
      <w:marTop w:val="0"/>
      <w:marBottom w:val="0"/>
      <w:divBdr>
        <w:top w:val="none" w:sz="0" w:space="0" w:color="auto"/>
        <w:left w:val="none" w:sz="0" w:space="0" w:color="auto"/>
        <w:bottom w:val="none" w:sz="0" w:space="0" w:color="auto"/>
        <w:right w:val="none" w:sz="0" w:space="0" w:color="auto"/>
      </w:divBdr>
    </w:div>
    <w:div w:id="2035231847">
      <w:bodyDiv w:val="1"/>
      <w:marLeft w:val="0"/>
      <w:marRight w:val="0"/>
      <w:marTop w:val="0"/>
      <w:marBottom w:val="0"/>
      <w:divBdr>
        <w:top w:val="none" w:sz="0" w:space="0" w:color="auto"/>
        <w:left w:val="none" w:sz="0" w:space="0" w:color="auto"/>
        <w:bottom w:val="none" w:sz="0" w:space="0" w:color="auto"/>
        <w:right w:val="none" w:sz="0" w:space="0" w:color="auto"/>
      </w:divBdr>
    </w:div>
    <w:div w:id="21071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mis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lquintopoder.cl" TargetMode="External"/><Relationship Id="rId4" Type="http://schemas.openxmlformats.org/officeDocument/2006/relationships/settings" Target="settings.xml"/><Relationship Id="rId9" Type="http://schemas.openxmlformats.org/officeDocument/2006/relationships/hyperlink" Target="http://www.rimis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801C2-B343-46AB-992C-3992ED79A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10280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Santiago, xx de diciembre de 2005</vt:lpstr>
      <vt:lpstr>Santiago, xx de diciembre de 2005</vt:lpstr>
    </vt:vector>
  </TitlesOfParts>
  <Company>BDD</Company>
  <LinksUpToDate>false</LinksUpToDate>
  <CharactersWithSpaces>12124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diciembre de 2005</dc:title>
  <dc:creator>HUGO TRIVELLI</dc:creator>
  <cp:lastModifiedBy>ivette</cp:lastModifiedBy>
  <cp:revision>2</cp:revision>
  <dcterms:created xsi:type="dcterms:W3CDTF">2013-06-06T15:27:00Z</dcterms:created>
  <dcterms:modified xsi:type="dcterms:W3CDTF">2013-06-06T15:27:00Z</dcterms:modified>
</cp:coreProperties>
</file>